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 w:line="596" w:lineRule="exact"/>
        <w:ind w:left="0" w:right="0"/>
        <w:jc w:val="both"/>
        <w:textAlignment w:val="top"/>
        <w:outlineLvl w:val="0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kern w:val="2"/>
          <w:sz w:val="32"/>
          <w:szCs w:val="24"/>
          <w:lang w:val="en-US" w:eastAsia="zh-CN" w:bidi="ar"/>
        </w:rPr>
        <w:t>附件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540" w:lineRule="exact"/>
        <w:ind w:left="0" w:right="0"/>
        <w:jc w:val="center"/>
        <w:textAlignment w:val="top"/>
        <w:rPr>
          <w:rFonts w:hint="eastAsia" w:ascii="宋体" w:hAnsi="宋体" w:eastAsia="宋体" w:cs="宋体"/>
          <w:b/>
          <w:sz w:val="36"/>
          <w:szCs w:val="36"/>
          <w:lang w:val="en-US"/>
        </w:rPr>
      </w:pPr>
      <w:bookmarkStart w:id="0" w:name="_GoBack"/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"/>
        </w:rPr>
        <w:t>福州市南台岛（奥体片）控制性详细规划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540" w:lineRule="exact"/>
        <w:ind w:left="0" w:right="0"/>
        <w:jc w:val="center"/>
        <w:textAlignment w:val="top"/>
        <w:outlineLvl w:val="0"/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"/>
        </w:rPr>
        <w:t>主要内容</w:t>
      </w:r>
    </w:p>
    <w:bookmarkEnd w:id="0"/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一、区位及规划范围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奥体片区位于福州市仓山区南台岛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西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南部，规划范围东至南二环路、南至福湾路、西至三环一期、北至浦上大道，总面积约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1163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公顷。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二、现状概况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片区内有飞凤山、鹭岭山山体等，现状用地主要由居住用地、综合用地、公共管理与公共服务设施用地、商业服务设施用地、工业及仓储用地、公用设施用地、绿地与广场用地、村庄建设用地及其他未建设用地组成，有金港河、浦上河、飞凤河、台屿河、流花溪等河道从区内穿过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三、功能定位及规模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1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功能定位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总体功能定位为以承办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大型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体育赛事的主场馆区为核心，以全民体育休闲为主导功能，形成集康体休闲、会议接待、商务办公、文化创意、生活居住为一体的复合型、生态型的奥体主题综合功能区。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2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规模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（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）用地规模：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本片区规划总面积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约1163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公顷，城市建设用地面积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约1121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公顷。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（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）人口规模：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本片区可容纳总人口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约18.75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万人。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四、规划结构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本区规划总体形成“一廊连两心、一轴串两带”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的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规划结构。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1.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一廊连两心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一廊：体育康体生态廊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两心：体育休闲中心、生态康体中心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2.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一轴串两带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一轴：义序大道（金洲南路）公共服务轴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两带：建新路创新产业带、凤山路休闲景观带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五、用地布局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规划充分利用基地临江拥山的自然环境优势，依托海峡奥体中心，将飞凤山打造为生态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康体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中心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，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并将奥体中心及生态康体中心结合起来，形成规划区的核心休闲娱乐片区，促进周边商业休闲设施的发展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、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工业片区的更新改造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及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居住设施的完善。依托金洲南路形成公共服务轴、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依托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建新路形成创新产业带及依托风山路形成休闲景观带。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六、道路交通规划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道路交通规划在保留现状路网结构的前提上，打通断头路，疏导瓶颈路，形成“一环两横三纵”的类方格网状（方格网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+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自由式）路网结构。规划道路分为快速路、主干路、次干路、支路四个等级。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七、绿地景观系统规划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规划形成“一带两轴、两心多点”的绿地景观结构。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1.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一带两轴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滨江健康休闲带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——打造乌龙江滨水健康生态休闲带，营造以人为本的城市滨水公共绿化空间。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生态绿化景观轴——串联奥体中心、飞凤山、齐安山、高盖山等景点，形成山体景观生态轴。公共服务景观轴——以奥体休闲为中心，形成南北向的城市公共服务景观轴。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2.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两心多点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bCs/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两心——体育休闲中心、生态</w:t>
      </w:r>
      <w:r>
        <w:rPr>
          <w:rFonts w:hint="eastAsia" w:ascii="Times New Roman" w:hAnsi="Times New Roman" w:cs="仿宋_GB2312"/>
          <w:bCs/>
          <w:kern w:val="2"/>
          <w:sz w:val="32"/>
          <w:szCs w:val="24"/>
          <w:lang w:val="en-US" w:eastAsia="zh-CN" w:bidi="ar"/>
        </w:rPr>
        <w:t>康体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中心。</w:t>
      </w:r>
    </w:p>
    <w:p>
      <w:pPr>
        <w:keepNext w:val="0"/>
        <w:keepLines w:val="0"/>
        <w:widowControl w:val="0"/>
        <w:suppressLineNumbers w:val="0"/>
        <w:spacing w:before="0" w:beforeLines="0" w:beforeAutospacing="0" w:after="0" w:afterLines="0" w:afterAutospacing="0" w:line="476" w:lineRule="exact"/>
        <w:ind w:left="0" w:right="0" w:firstLine="640" w:firstLineChars="200"/>
        <w:jc w:val="both"/>
        <w:textAlignment w:val="top"/>
        <w:rPr>
          <w:lang w:val="en-US"/>
        </w:rPr>
      </w:pP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多点——齐安山、鹭岭山、滨江广场、居住社区等多个景点。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80" w:lineRule="exact"/>
        <w:ind w:left="0" w:right="0"/>
        <w:jc w:val="both"/>
        <w:textAlignment w:val="top"/>
        <w:outlineLvl w:val="0"/>
        <w:rPr>
          <w:b/>
          <w:lang w:val="en-US"/>
        </w:rPr>
      </w:pPr>
      <w:r>
        <w:rPr>
          <w:rFonts w:hint="eastAsia" w:ascii="Times New Roman" w:hAnsi="Times New Roman" w:eastAsia="仿宋_GB2312" w:cs="仿宋_GB2312"/>
          <w:b/>
          <w:kern w:val="2"/>
          <w:sz w:val="32"/>
          <w:szCs w:val="24"/>
          <w:lang w:val="en-US" w:eastAsia="zh-CN" w:bidi="ar"/>
        </w:rPr>
        <w:t>八、公示图纸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1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、区位图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drawing>
          <wp:inline distT="0" distB="0" distL="114300" distR="114300">
            <wp:extent cx="4581525" cy="3459480"/>
            <wp:effectExtent l="0" t="0" r="952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2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、规划划结构图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drawing>
          <wp:inline distT="0" distB="0" distL="114300" distR="114300">
            <wp:extent cx="4581525" cy="3495675"/>
            <wp:effectExtent l="0" t="0" r="9525" b="9525"/>
            <wp:docPr id="1" name="图片 2" descr="03-规划结构图-2012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03-规划结构图-20121128"/>
                    <pic:cNvPicPr>
                      <a:picLocks noChangeAspect="1"/>
                    </pic:cNvPicPr>
                  </pic:nvPicPr>
                  <pic:blipFill>
                    <a:blip r:embed="rId5"/>
                    <a:srcRect l="1855" r="890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3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、土地利用规划图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rFonts w:hint="eastAsia" w:eastAsia="仿宋_GB2312"/>
          <w:bCs/>
          <w:lang w:val="en-US" w:eastAsia="zh-CN"/>
        </w:rPr>
      </w:pPr>
      <w:r>
        <w:rPr>
          <w:rFonts w:hint="eastAsia" w:eastAsia="仿宋_GB2312"/>
          <w:bCs/>
          <w:lang w:val="en-US" w:eastAsia="zh-CN"/>
        </w:rPr>
        <w:drawing>
          <wp:inline distT="0" distB="0" distL="114300" distR="114300">
            <wp:extent cx="4572000" cy="3503295"/>
            <wp:effectExtent l="0" t="0" r="0" b="1905"/>
            <wp:docPr id="4" name="图片 3" descr="微信图片_2018071315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180713153551"/>
                    <pic:cNvPicPr>
                      <a:picLocks noChangeAspect="1"/>
                    </pic:cNvPicPr>
                  </pic:nvPicPr>
                  <pic:blipFill>
                    <a:blip r:embed="rId6"/>
                    <a:srcRect l="2046" r="88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t>4</w:t>
      </w:r>
      <w:r>
        <w:rPr>
          <w:rFonts w:hint="eastAsia" w:ascii="Times New Roman" w:hAnsi="Times New Roman" w:eastAsia="仿宋_GB2312" w:cs="仿宋_GB2312"/>
          <w:bCs/>
          <w:kern w:val="2"/>
          <w:sz w:val="32"/>
          <w:szCs w:val="24"/>
          <w:lang w:val="en-US" w:eastAsia="zh-CN" w:bidi="ar"/>
        </w:rPr>
        <w:t>、绿地景观系统规划图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textAlignment w:val="top"/>
        <w:rPr>
          <w:bCs/>
          <w:lang w:val="en-US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24"/>
          <w:lang w:val="en-US" w:eastAsia="zh-CN" w:bidi="ar"/>
        </w:rPr>
        <w:drawing>
          <wp:inline distT="0" distB="0" distL="114300" distR="114300">
            <wp:extent cx="4543425" cy="3495675"/>
            <wp:effectExtent l="0" t="0" r="9525" b="9525"/>
            <wp:docPr id="3" name="图片 4" descr="06-绿地景观结构图-2012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06-绿地景观结构图-20121128"/>
                    <pic:cNvPicPr>
                      <a:picLocks noChangeAspect="1"/>
                    </pic:cNvPicPr>
                  </pic:nvPicPr>
                  <pic:blipFill>
                    <a:blip r:embed="rId7"/>
                    <a:srcRect l="2052" r="895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D0C65"/>
    <w:rsid w:val="0A0D0C6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2018-07-23T03:29:00Z</dcterms:created>
  <dc:creator>lenovo</dc:creator>
  <cp:lastModifiedBy>lenovo</cp:lastModifiedBy>
  <dcterms:modified xsi:type="dcterms:W3CDTF">2018-07-23T07:51:20Z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