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 w:ascii="宋体" w:hAnsi="宋体" w:eastAsia="宋体"/>
          <w:b/>
          <w:color w:val="000000"/>
          <w:sz w:val="36"/>
          <w:szCs w:val="36"/>
        </w:rPr>
      </w:pPr>
      <w:bookmarkStart w:id="1" w:name="_GoBack"/>
      <w:r>
        <w:rPr>
          <w:rFonts w:hint="eastAsia" w:ascii="宋体" w:hAnsi="宋体" w:eastAsia="宋体"/>
          <w:b/>
          <w:color w:val="000000"/>
          <w:sz w:val="36"/>
          <w:szCs w:val="36"/>
        </w:rPr>
        <w:t>《生态福州总体规划》公布内容</w:t>
      </w:r>
    </w:p>
    <w:bookmarkEnd w:id="1"/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一、规划主要内容</w:t>
      </w:r>
    </w:p>
    <w:p>
      <w:pPr>
        <w:spacing w:line="560" w:lineRule="exact"/>
        <w:ind w:firstLine="601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（一）生态福州规划范围与目标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规划范围为总规确定的中心城区范围，面积约为1447km</w:t>
      </w:r>
      <w:r>
        <w:rPr>
          <w:rFonts w:hint="eastAsia" w:ascii="仿宋_GB2312"/>
          <w:szCs w:val="32"/>
          <w:vertAlign w:val="superscript"/>
        </w:rPr>
        <w:t>2</w:t>
      </w:r>
      <w:r>
        <w:rPr>
          <w:rFonts w:hint="eastAsia" w:ascii="仿宋_GB2312"/>
          <w:szCs w:val="32"/>
        </w:rPr>
        <w:t>，其中规划建设用地规模约为378km</w:t>
      </w:r>
      <w:r>
        <w:rPr>
          <w:rFonts w:hint="eastAsia" w:ascii="仿宋_GB2312"/>
          <w:szCs w:val="32"/>
          <w:vertAlign w:val="superscript"/>
        </w:rPr>
        <w:t>2</w:t>
      </w:r>
      <w:r>
        <w:rPr>
          <w:rFonts w:hint="eastAsia" w:ascii="仿宋_GB2312"/>
          <w:szCs w:val="32"/>
        </w:rPr>
        <w:t>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生态福州的发展目标概括为</w:t>
      </w:r>
      <w:r>
        <w:rPr>
          <w:rFonts w:hint="eastAsia" w:ascii="仿宋_GB2312"/>
          <w:b/>
          <w:szCs w:val="32"/>
        </w:rPr>
        <w:t>“生态福州，人居典范”。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生态福州发展内涵概括为</w:t>
      </w:r>
      <w:r>
        <w:rPr>
          <w:rFonts w:hint="eastAsia" w:ascii="仿宋_GB2312"/>
          <w:b/>
          <w:szCs w:val="32"/>
        </w:rPr>
        <w:t>“绿色福州、宜居福州和智慧福州”。</w:t>
      </w:r>
    </w:p>
    <w:p>
      <w:pPr>
        <w:spacing w:line="560" w:lineRule="exact"/>
        <w:ind w:firstLine="601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（二）绿色福州：构建自然生态体系</w:t>
      </w:r>
    </w:p>
    <w:p>
      <w:pPr>
        <w:spacing w:line="560" w:lineRule="exact"/>
        <w:ind w:firstLine="603" w:firstLineChars="200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1、构筑“两环两廊五楔网状系统”福州自然生态总体格局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通过梳理福州山体格局和绿地水系，以福州山水为骨架，建立山水与城市的良好衔接，建设城在山水中，山水在城中，构建“两环两廊五楔网状系统”山、水、城完美结合的福州总体生态格局。</w:t>
      </w:r>
    </w:p>
    <w:p>
      <w:pPr>
        <w:spacing w:line="560" w:lineRule="exact"/>
        <w:ind w:firstLine="602" w:firstLineChars="200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两环：即外围的由莲花山、鼓山、旗山和五虎山形成的外围山体屏障和环城绿带，环城绿带指沿三环和闽江、乌龙江的环城绿带，发挥生态保育、景观风貌、城市安全、慢行系统和生物保护六大功能。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两廊：即两江廊道，通过构建闽江、乌龙江两条生态景观廊道，将城市最主要的线性要素融入城中，对岸线进行整治和改造，增加生态丰富性，并通过多条支流水系流入城中，融入城中。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五楔：即五大山水绿楔，通过从外围莲花山、鼓山、旗山、五虎山四大山系构建五大山水绿楔，包括莲花山-金牛山绿楔、鼓山-金鸡山绿楔、鼓山-闽江绿楔、五虎山-高盖山绿楔和旗山-乌龙江绿楔。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 xml:space="preserve">网状系统：江北城区采取利用现有山水网络和主要城市公园，修复斑块，完善城市绿地廊道，构建两横四纵城市绿廊体系。两横绿廊包括铜盘路华林路生态廊道和乌山路福马路生态廊道；四纵绿廊包括白马河生态廊道、晋安河生态廊道、凤坂河生态廊道和磨洋河生态廊道。南台岛延续江北的乌山-福马廊道、白马河廊道及晋安河廊道，重点采取以山体作为主要控制要素分区引导，形成四大片区。包括淮安山妙峰山片区、飞凤山乌龙江湿地片区、高盖山帝封江片区和城门山清凉山片区。 </w:t>
      </w:r>
    </w:p>
    <w:p>
      <w:pPr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 w:val="30"/>
          <w:szCs w:val="30"/>
        </w:rPr>
        <w:drawing>
          <wp:inline distT="0" distB="0" distL="114300" distR="114300">
            <wp:extent cx="5542915" cy="4293235"/>
            <wp:effectExtent l="0" t="0" r="63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3" w:firstLineChars="200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2、实现“显山露水”为目标的山水城格局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根据山体在城市空间格局、城市绿地景观系统以及在改善市区生态环境等方面的重要性，对规划保留的58座山体分三级予以保护。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（1）小三山视线通廊。在小三山之间划定视线走廊，视线走廊宽度为100m。视线走廊之内的建筑高度控制于24m以下，视线走廊围合的内三角范围的建筑高度限高为48m。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（2）乌山—烟台山—高盖山之间的视线走廊。视线走廊宽度以各山体的1/3高度等高线为基准，同时考虑实际观景点和现状建筑边界阻挡等因素划定。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 xml:space="preserve">（3）城门山—清凉山之间视线走廊。视线走廊宽度以各山体1/3高度等高线为基准划定。 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山水界面视线走廊控制：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控制福州闽江、乌龙江与沿江山体之间的视线走廊，以形成山水相融的城市景观格局。根据现状情况与闽江、乌龙江沿线用地规划，确定主要的山水视线走廊控制面有：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 xml:space="preserve">鼓山—闽江面；高盖山—乌龙江面；城门山—闽江、乌龙江面；烟台山—闽江面；飞凤山—乌龙江面；西山—乌龙江、闽江面；妙峰山—闽江、乌龙江面；金牛山—闽江面。 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山体与城市主要开敞空间视线走廊控制：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山、城格局的保护在分析的基础上，选择并确保中心城内若干重要公共开敞空间与主要山体通视。城市主干道与山体视线走廊有：湖东路—金鸡山、八一七路—烟台山、南二环路—高盖山、三环路（规划）—金鸡山。其它城市开敞空间如城市公共绿地、广场、河道沿线等与主要山体视线走廊有：温泉公园—金鸡山、罗星塔—清凉山、西湖公园—屏山。另在城市可开发地块建设过程中，重视开敞空间与周边山体之间的通视。</w:t>
      </w:r>
    </w:p>
    <w:p>
      <w:pPr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 w:val="30"/>
          <w:szCs w:val="30"/>
        </w:rPr>
        <w:drawing>
          <wp:inline distT="0" distB="0" distL="114300" distR="114300">
            <wp:extent cx="5615305" cy="3918585"/>
            <wp:effectExtent l="0" t="0" r="444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山体本体保护规划：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严格控制山体本体绿线；控制山体周边一定范围内地块的建控高度，保护以山体为背景的城市风貌；在山体周边选取重要的观山节点，保护其与山体之间的视线廊道。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水系格局构建：</w:t>
      </w:r>
    </w:p>
    <w:p>
      <w:pPr>
        <w:spacing w:line="560" w:lineRule="exact"/>
        <w:ind w:firstLine="601"/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Cs w:val="32"/>
        </w:rPr>
        <w:t>遵循保障水系连通性，基于福州市水系现状与福州市城市总体规划方案，形成“节点-轴线-河网”。</w:t>
      </w:r>
    </w:p>
    <w:p>
      <w:pPr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 w:val="30"/>
          <w:szCs w:val="30"/>
        </w:rPr>
        <w:drawing>
          <wp:inline distT="0" distB="0" distL="114300" distR="114300">
            <wp:extent cx="5610860" cy="4338955"/>
            <wp:effectExtent l="0" t="0" r="889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沿河绿道网建设：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沿内河形成网络状的绿地系统，其中有安全、舒适、美观的步行道，尽可能连贯城市的各个公园、广场和其他开放空间，形成福州市的“绿岛链”。宽度8米以下河面两侧绿带不应小于4米，8米以上两侧绿带最小宽度不宜小于12米。湖面与城市公园绿地相结合，湖面周边绿带宽度不应小于20米。</w:t>
      </w:r>
    </w:p>
    <w:p>
      <w:pPr>
        <w:spacing w:line="560" w:lineRule="exact"/>
        <w:ind w:firstLine="601"/>
        <w:rPr>
          <w:rFonts w:hint="eastAsia" w:ascii="仿宋_GB2312" w:hAnsi="宋体"/>
          <w:b/>
          <w:szCs w:val="32"/>
        </w:rPr>
      </w:pPr>
      <w:r>
        <w:rPr>
          <w:rFonts w:hint="eastAsia" w:ascii="仿宋_GB2312"/>
          <w:b/>
          <w:szCs w:val="32"/>
        </w:rPr>
        <w:t>3、构筑环城绿带生态控制线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环城绿带是指沿三环和闽江、乌龙江的绿带，由山体、水域、绿地和部分建设用地组成，是生态福州总体格局重要的组成部分，发挥生态保育、景观风貌、城市安全、慢行服务和生物保护等功能。生态福州总体规划承接“两江润城、碧山环城、水链织城、青峰缀城”的规划理念，以福州“山、水、城”格局为骨架和本底，通过生态功能和人文功能的提升，建设完整的城市自然生态基础体系，最终打造凸显自然 “显山露水”的山水城市，规划在梳理现状15个湖面、水库的基础上，进一步增加城市水域面积率，增加城市滞蓄能力，通过整合、提升、新建、扩建等各种手段，最终沿三环环城绿带形成21个湖面水库，总面积约76平方公里，占环城绿带面积的30%，既延续凸显了福州“山、水、城”的传统自然格局，又增加城市防洪防涝功能，达到人文、景观建设与自然安全体系的共赢。</w:t>
      </w:r>
    </w:p>
    <w:p>
      <w:pPr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 w:val="30"/>
          <w:szCs w:val="30"/>
        </w:rPr>
        <w:drawing>
          <wp:inline distT="0" distB="0" distL="114300" distR="114300">
            <wp:extent cx="5410200" cy="4257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01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（三）宜居福州：提升人居环境舒适性</w:t>
      </w:r>
    </w:p>
    <w:p>
      <w:pPr>
        <w:spacing w:line="540" w:lineRule="exact"/>
        <w:ind w:firstLine="603" w:firstLineChars="200"/>
        <w:rPr>
          <w:rFonts w:hint="eastAsia" w:ascii="仿宋_GB2312"/>
          <w:szCs w:val="32"/>
        </w:rPr>
      </w:pPr>
      <w:r>
        <w:rPr>
          <w:rFonts w:hint="eastAsia" w:ascii="仿宋_GB2312"/>
          <w:b/>
          <w:szCs w:val="32"/>
        </w:rPr>
        <w:t>1、城市热岛效应减缓</w:t>
      </w:r>
    </w:p>
    <w:p>
      <w:pPr>
        <w:spacing w:line="54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针对福州市热岛现状，提出四项治理策略：一、提倡低冲击开发，减少不透水表面，优化绿地系统结构，因地制宜增设水面；二、分区分类治理，重点治理地温高且占地比例高的地类；三、选择多中心用地混合的城市发展模式，疏解老城区人口；四、在城市色彩规划中纳入对热岛效应的考虑。</w:t>
      </w:r>
    </w:p>
    <w:p>
      <w:pPr>
        <w:spacing w:line="540" w:lineRule="exact"/>
        <w:ind w:firstLine="603" w:firstLineChars="200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2、构建城市通风格局</w:t>
      </w:r>
    </w:p>
    <w:p>
      <w:pPr>
        <w:spacing w:line="54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为改善福州市风环境，按照通风廊道、降温节点、通风口的建设模式，将福州市规划为“一轴十廊、一门多点”的通风格局。一轴指闽江、乌龙江及沿江两岸100m范围；十廊指白马河、晋安河、磨洋河、磨溪、浦上河、阳岐河、白湖亭河、溪源河、大樟溪和清潭溪，十条河中心线两侧50m范围。一门即闽江通风口，多点指市区内较大规模的降温节点。</w:t>
      </w:r>
    </w:p>
    <w:p>
      <w:pPr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 w:val="30"/>
          <w:szCs w:val="30"/>
        </w:rPr>
        <w:drawing>
          <wp:inline distT="0" distB="0" distL="114300" distR="114300">
            <wp:extent cx="5419725" cy="4391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3" w:firstLineChars="200"/>
        <w:rPr>
          <w:rFonts w:hint="eastAsia" w:ascii="仿宋_GB2312"/>
          <w:szCs w:val="32"/>
        </w:rPr>
      </w:pPr>
      <w:r>
        <w:rPr>
          <w:rFonts w:hint="eastAsia" w:ascii="仿宋_GB2312"/>
          <w:b/>
          <w:szCs w:val="32"/>
        </w:rPr>
        <w:t>3、居住区的生态化更新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对福州市中心城区的所有居住区按照建造年代、建筑质量等情况分为传统住区、老旧小区、新建小区三类。对各类居住区的主要现状问题，提出具有针对性的改进策略。历史街区的改造重点是在保护传统街巷格局的前提下，重点提升住区环境建设，改善居住质量。老旧小区的改造重点在于循序渐渐的推进旧城改造，重点改善公共空间，优化交通组织。新建的小区，生态化更新的重点在于进一步完善社区绿化环境，注重住区管理、营建社区人文氛围。</w:t>
      </w:r>
    </w:p>
    <w:p>
      <w:pPr>
        <w:spacing w:line="560" w:lineRule="exact"/>
        <w:ind w:firstLine="603" w:firstLineChars="200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4、工业区生态化改善</w:t>
      </w:r>
    </w:p>
    <w:p>
      <w:pPr>
        <w:spacing w:line="560" w:lineRule="exact"/>
        <w:ind w:firstLine="601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根据福州市现有工业园区现状，将工业园区分为二类进行改造。一类是保留提升型园区，这类园区保留工业，并进行生态化提升，提升重点是推广绿色经济发展方式，进行生态园区建设和工业园区和厂房的生态化改造。另一类是外迁转型型园区，这类园区需要进行工业的整合和外迁，改造重点是落后产能的外迁，园区内新功能的填补，以及旧厂房的改造利用。</w:t>
      </w:r>
    </w:p>
    <w:p>
      <w:pPr>
        <w:spacing w:line="560" w:lineRule="exact"/>
        <w:ind w:firstLine="601"/>
        <w:rPr>
          <w:rFonts w:hint="eastAsia" w:ascii="黑体" w:eastAsia="黑体"/>
          <w:b/>
          <w:szCs w:val="32"/>
        </w:rPr>
      </w:pPr>
      <w:r>
        <w:rPr>
          <w:rFonts w:hint="eastAsia" w:ascii="黑体" w:eastAsia="黑体"/>
          <w:b/>
          <w:szCs w:val="32"/>
        </w:rPr>
        <w:t>（四）智慧福州：完善基础设施实现智慧低碳</w:t>
      </w:r>
    </w:p>
    <w:p>
      <w:pPr>
        <w:spacing w:line="560" w:lineRule="exact"/>
        <w:ind w:firstLine="603" w:firstLineChars="200"/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t>1、绿色交通规划</w:t>
      </w:r>
    </w:p>
    <w:p>
      <w:pPr>
        <w:spacing w:line="560" w:lineRule="exact"/>
        <w:ind w:firstLine="601"/>
        <w:rPr>
          <w:rFonts w:hint="eastAsia" w:ascii="仿宋_GB2312"/>
          <w:sz w:val="30"/>
          <w:szCs w:val="30"/>
        </w:rPr>
      </w:pPr>
      <w:r>
        <w:rPr>
          <w:rFonts w:hint="eastAsia" w:ascii="仿宋_GB2312"/>
          <w:szCs w:val="32"/>
        </w:rPr>
        <w:t>提出福州市绿色交通发展四大策略：一、提升公交运行能力。倡导多层级公交线网，形成混合式公交线网结构；完善快速公交线网规划，形成BRT公交网络；优化常规公交线网，增加支线公交网络；应用高效智能管理公交设施。二、构建特色慢行系统。融合“山水城市” 格局，构建特色慢行系统；发挥慢行系统的多元功能，倡导绿色慢生活；注重慢行系统的人性化设计，彰显绿色人文关怀。三、交通生态化提升。进行交通渠道化，提高慢行道路舒适性、连续性；减缓热岛效应与交通噪音。四、停车场规划建设及管理。增加公共停车的供给；提高配建标准，优化路边停车位布局与分时管理；对交通设施生态智能建设</w:t>
      </w:r>
      <w:r>
        <w:rPr>
          <w:rFonts w:hint="eastAsia" w:ascii="仿宋_GB2312"/>
          <w:sz w:val="30"/>
          <w:szCs w:val="30"/>
        </w:rPr>
        <w:t>。</w:t>
      </w:r>
    </w:p>
    <w:p>
      <w:pPr>
        <w:spacing w:line="596" w:lineRule="exact"/>
        <w:textAlignment w:val="top"/>
      </w:pPr>
      <w:r>
        <w:rPr>
          <w:lang w:val="zh-CN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610225" cy="3533775"/>
            <wp:effectExtent l="0" t="0" r="9525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596" w:lineRule="exact"/>
        <w:textAlignment w:val="top"/>
      </w:pPr>
    </w:p>
    <w:p>
      <w:pPr>
        <w:spacing w:line="596" w:lineRule="exact"/>
        <w:textAlignment w:val="top"/>
      </w:pPr>
    </w:p>
    <w:p>
      <w:pPr>
        <w:spacing w:line="596" w:lineRule="exact"/>
        <w:textAlignment w:val="top"/>
      </w:pPr>
    </w:p>
    <w:p>
      <w:pPr>
        <w:spacing w:line="596" w:lineRule="exact"/>
        <w:textAlignment w:val="top"/>
      </w:pPr>
    </w:p>
    <w:p>
      <w:pPr>
        <w:spacing w:line="596" w:lineRule="exact"/>
        <w:textAlignment w:val="top"/>
        <w:rPr>
          <w:rFonts w:hint="eastAsia" w:ascii="仿宋_GB2312"/>
          <w:spacing w:val="-6"/>
        </w:rPr>
      </w:pPr>
      <w:bookmarkStart w:id="0" w:name="BodyEnd"/>
      <w:bookmarkEnd w:id="0"/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60288" behindDoc="0" locked="1" layoutInCell="1" hidden="1" allowOverlap="1">
                <wp:simplePos x="0" y="0"/>
                <wp:positionH relativeFrom="column">
                  <wp:posOffset>237490</wp:posOffset>
                </wp:positionH>
                <wp:positionV relativeFrom="page">
                  <wp:posOffset>9072880</wp:posOffset>
                </wp:positionV>
                <wp:extent cx="3000375" cy="360045"/>
                <wp:effectExtent l="0" t="0" r="0" b="0"/>
                <wp:wrapTopAndBottom/>
                <wp:docPr id="11" name="LastPrintU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UText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0288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SSn+f9cAAAAMAQAADwAA&#10;AAAAAAABACAAAAAiAAAAZHJzL2Rvd25yZXYueG1sUEsBAhQAFAAAAAgAh07iQP+RZkqlAQAARgMA&#10;AA4AAAAAAAAAAQAgAAAAJgEAAGRycy9lMm9Eb2MueG1sUEsFBgAAAAAGAAYAWQEAAD0FAAAAAA==&#10;">
                <v:fill on="f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59264" behindDoc="0" locked="1" layoutInCell="1" hidden="1" allowOverlap="1">
                <wp:simplePos x="0" y="0"/>
                <wp:positionH relativeFrom="column">
                  <wp:posOffset>3236595</wp:posOffset>
                </wp:positionH>
                <wp:positionV relativeFrom="page">
                  <wp:posOffset>9072880</wp:posOffset>
                </wp:positionV>
                <wp:extent cx="2333625" cy="360045"/>
                <wp:effectExtent l="0" t="0" r="0" b="0"/>
                <wp:wrapTopAndBottom/>
                <wp:docPr id="1" name="LastPrintD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  <w:lang w:val="zh-CN" w:eastAsia="zh-CN"/>
                              </w:rPr>
                              <w:t>2016年1月19日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 xml:space="preserve">翻印 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DText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59264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P6N/fNkAAAANAQAADwAA&#10;AAAAAAABACAAAAAiAAAAZHJzL2Rvd25yZXYueG1sUEsBAhQAFAAAAAgAh07iQC4l3w6jAQAARQMA&#10;AA4AAAAAAAAAAQAgAAAAKAEAAGRycy9lMm9Eb2MueG1sUEsFBgAAAAAGAAYAWQEAAD0FAAAAAA==&#10;">
                <v:fill on="f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wordWrap w:val="0"/>
                        <w:jc w:val="right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  <w:r>
                        <w:rPr>
                          <w:rFonts w:ascii="方正仿宋简体" w:eastAsia="方正仿宋简体"/>
                          <w:sz w:val="31"/>
                          <w:szCs w:val="31"/>
                          <w:lang w:val="zh-CN" w:eastAsia="zh-CN"/>
                        </w:rPr>
                        <w:t>2016年1月19日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 xml:space="preserve">翻印  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58240" behindDoc="0" locked="1" layoutInCell="1" hidden="1" allowOverlap="1">
                <wp:simplePos x="0" y="0"/>
                <wp:positionH relativeFrom="margin">
                  <wp:posOffset>-14605</wp:posOffset>
                </wp:positionH>
                <wp:positionV relativeFrom="page">
                  <wp:posOffset>9447530</wp:posOffset>
                </wp:positionV>
                <wp:extent cx="5579745" cy="0"/>
                <wp:effectExtent l="0" t="0" r="0" b="0"/>
                <wp:wrapTopAndBottom/>
                <wp:docPr id="4" name="LastPrint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astPrintLine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58240;mso-width-relative:page;mso-height-relative:page;" filled="f" stroked="t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qVJeh1wAAAAwBAAAPAAAAAAAAAAEAIAAAACIAAABkcnMv&#10;ZG93bnJldi54bWxQSwECFAAUAAAACACHTuJALmdejcsBAACeAwAADgAAAAAAAAABACAAAAAmAQAA&#10;ZHJzL2Uyb0RvYy54bWxQSwUGAAAAAAYABgBZAQAAYwUAAAAA&#10;">
                <v:fill on="f" focussize="0,0"/>
                <v:stroke weight="1pt" color="#000000" joinstyle="round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</w:p>
    <w:p>
      <w:pPr>
        <w:spacing w:line="596" w:lineRule="exact"/>
        <w:textAlignment w:val="top"/>
      </w:pPr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67456" behindDoc="0" locked="1" layoutInCell="1" hidden="1" allowOverlap="1">
                <wp:simplePos x="0" y="0"/>
                <wp:positionH relativeFrom="column">
                  <wp:posOffset>237490</wp:posOffset>
                </wp:positionH>
                <wp:positionV relativeFrom="page">
                  <wp:posOffset>9072880</wp:posOffset>
                </wp:positionV>
                <wp:extent cx="3000375" cy="360045"/>
                <wp:effectExtent l="0" t="0" r="0" b="0"/>
                <wp:wrapTopAndBottom/>
                <wp:docPr id="5" name="LastPrintU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UText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7456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Ekp/n/XAAAADAEAAA8AAAAA&#10;AAAAAQAgAAAAIgAAAGRycy9kb3ducmV2LnhtbFBLAQIUABQAAAAIAIdO4kCdm1E7owEAAEUDAAAO&#10;AAAAAAAAAAEAIAAAACYBAABkcnMvZTJvRG9jLnhtbFBLBQYAAAAABgAGAFkBAAA7BQAAAAA=&#10;">
                <v:fill on="f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66432" behindDoc="0" locked="1" layoutInCell="1" hidden="1" allowOverlap="1">
                <wp:simplePos x="0" y="0"/>
                <wp:positionH relativeFrom="column">
                  <wp:posOffset>3236595</wp:posOffset>
                </wp:positionH>
                <wp:positionV relativeFrom="page">
                  <wp:posOffset>9072880</wp:posOffset>
                </wp:positionV>
                <wp:extent cx="2333625" cy="360045"/>
                <wp:effectExtent l="0" t="0" r="0" b="0"/>
                <wp:wrapTopAndBottom/>
                <wp:docPr id="2" name="LastPrintD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  <w:lang w:val="zh-CN" w:eastAsia="zh-CN"/>
                              </w:rPr>
                              <w:t>2016年1月19日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 xml:space="preserve">翻印 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LastPrintDText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66432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P6N/fNkAAAANAQAADwAA&#10;AAAAAAABACAAAAAiAAAAZHJzL2Rvd25yZXYueG1sUEsBAhQAFAAAAAgAh07iQM9NEtOjAQAARQMA&#10;AA4AAAAAAAAAAQAgAAAAKAEAAGRycy9lMm9Eb2MueG1sUEsFBgAAAAAGAAYAWQEAAD0FAAAAAA==&#10;">
                <v:fill on="f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wordWrap w:val="0"/>
                        <w:jc w:val="right"/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</w:pPr>
                      <w:r>
                        <w:rPr>
                          <w:rFonts w:ascii="方正仿宋简体" w:eastAsia="方正仿宋简体"/>
                          <w:sz w:val="31"/>
                          <w:szCs w:val="31"/>
                          <w:lang w:val="zh-CN" w:eastAsia="zh-CN"/>
                        </w:rPr>
                        <w:t>2016年1月19日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 xml:space="preserve">翻印  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  <w:lang w:val="zh-CN" w:eastAsia="zh-CN"/>
        </w:rPr>
        <mc:AlternateContent>
          <mc:Choice Requires="wps">
            <w:drawing>
              <wp:anchor distT="0" distB="0" distL="114300" distR="114300" simplePos="0" relativeHeight="251665408" behindDoc="0" locked="1" layoutInCell="1" hidden="1" allowOverlap="1">
                <wp:simplePos x="0" y="0"/>
                <wp:positionH relativeFrom="margin">
                  <wp:posOffset>-14605</wp:posOffset>
                </wp:positionH>
                <wp:positionV relativeFrom="page">
                  <wp:posOffset>9447530</wp:posOffset>
                </wp:positionV>
                <wp:extent cx="5579745" cy="0"/>
                <wp:effectExtent l="0" t="0" r="0" b="0"/>
                <wp:wrapTopAndBottom/>
                <wp:docPr id="3" name="LastPrint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astPrintLine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65408;mso-width-relative:page;mso-height-relative:page;" filled="f" stroked="t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qVJeh1wAAAAwBAAAPAAAAAAAAAAEAIAAAACIAAABkcnMv&#10;ZG93bnJldi54bWxQSwECFAAUAAAACACHTuJAx6oCXssBAACeAwAADgAAAAAAAAABACAAAAAmAQAA&#10;ZHJzL2Uyb0RvYy54bWxQSwUGAAAAAAYABgBZAQAAYwUAAAAA&#10;">
                <v:fill on="f" focussize="0,0"/>
                <v:stroke weight="1pt" color="#000000" joinstyle="round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</w:p>
    <w:sectPr>
      <w:headerReference r:id="rId3" w:type="default"/>
      <w:footerReference r:id="rId4" w:type="default"/>
      <w:footerReference r:id="rId5" w:type="even"/>
      <w:pgSz w:w="11906" w:h="16838"/>
      <w:pgMar w:top="1701" w:right="1531" w:bottom="1701" w:left="1531" w:header="851" w:footer="1418" w:gutter="0"/>
      <w:cols w:space="425" w:num="1"/>
      <w:docGrid w:type="linesAndChars" w:linePitch="634" w:charSpace="-38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黑体">
    <w:panose1 w:val="02010600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framePr w:wrap="around" w:vAnchor="text" w:hAnchor="margin" w:xAlign="outside" w:y="1"/>
      <w:ind w:left="320" w:leftChars="100" w:right="320" w:rightChars="100"/>
      <w:jc w:val="center"/>
      <w:rPr>
        <w:rStyle w:val="6"/>
      </w:rPr>
    </w:pPr>
    <w:r>
      <w:rPr>
        <w:rStyle w:val="6"/>
        <w:rFonts w:hint="eastAsia" w:ascii="宋体" w:hAnsi="宋体" w:eastAsia="宋体"/>
        <w:sz w:val="28"/>
      </w:rPr>
      <w:t>—</w:t>
    </w:r>
    <w:r>
      <w:rPr>
        <w:rStyle w:val="6"/>
        <w:rFonts w:ascii="宋体" w:hAnsi="宋体" w:eastAsia="宋体"/>
        <w:sz w:val="28"/>
      </w:rPr>
      <w:t xml:space="preserve"> </w:t>
    </w:r>
    <w:r>
      <w:rPr>
        <w:rStyle w:val="6"/>
        <w:rFonts w:ascii="宋体" w:hAnsi="宋体" w:eastAsia="宋体"/>
        <w:sz w:val="28"/>
      </w:rPr>
      <w:fldChar w:fldCharType="begin"/>
    </w:r>
    <w:r>
      <w:rPr>
        <w:rStyle w:val="6"/>
        <w:rFonts w:ascii="宋体" w:hAnsi="宋体" w:eastAsia="宋体"/>
        <w:sz w:val="28"/>
      </w:rPr>
      <w:instrText xml:space="preserve">PAGE  </w:instrText>
    </w:r>
    <w:r>
      <w:rPr>
        <w:rStyle w:val="6"/>
        <w:rFonts w:ascii="宋体" w:hAnsi="宋体" w:eastAsia="宋体"/>
        <w:sz w:val="28"/>
      </w:rPr>
      <w:fldChar w:fldCharType="separate"/>
    </w:r>
    <w:r>
      <w:rPr>
        <w:rStyle w:val="6"/>
        <w:rFonts w:ascii="宋体" w:hAnsi="宋体" w:eastAsia="宋体"/>
        <w:sz w:val="28"/>
        <w:lang w:val="zh-CN" w:eastAsia="zh-CN"/>
      </w:rPr>
      <w:t>1</w:t>
    </w:r>
    <w:r>
      <w:rPr>
        <w:rStyle w:val="6"/>
        <w:rFonts w:ascii="宋体" w:hAnsi="宋体" w:eastAsia="宋体"/>
        <w:sz w:val="28"/>
      </w:rPr>
      <w:fldChar w:fldCharType="end"/>
    </w:r>
    <w:r>
      <w:rPr>
        <w:rStyle w:val="6"/>
        <w:rFonts w:ascii="宋体" w:hAnsi="宋体" w:eastAsia="宋体"/>
        <w:sz w:val="28"/>
      </w:rPr>
      <w:t xml:space="preserve"> —</w:t>
    </w:r>
  </w:p>
  <w:p>
    <w:pPr>
      <w:pStyle w:val="3"/>
      <w:tabs>
        <w:tab w:val="right" w:pos="8820"/>
        <w:tab w:val="clear" w:pos="8306"/>
      </w:tabs>
      <w:ind w:right="23"/>
      <w:jc w:val="both"/>
      <w:rPr>
        <w:rFonts w:hint="eastAsia"/>
        <w:sz w:val="28"/>
      </w:rPr>
    </w:pPr>
    <w:r>
      <w:rPr>
        <w:kern w:val="0"/>
        <w:sz w:val="28"/>
        <w:szCs w:val="21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framePr w:wrap="around" w:vAnchor="text" w:hAnchor="margin" w:xAlign="outside" w:y="1"/>
      <w:ind w:left="320" w:leftChars="100" w:right="320" w:rightChars="100"/>
      <w:jc w:val="center"/>
      <w:rPr>
        <w:rStyle w:val="6"/>
      </w:rPr>
    </w:pPr>
    <w:r>
      <w:rPr>
        <w:rStyle w:val="6"/>
        <w:rFonts w:hint="eastAsia" w:ascii="宋体" w:hAnsi="宋体" w:eastAsia="宋体"/>
        <w:sz w:val="28"/>
      </w:rPr>
      <w:t>—</w:t>
    </w:r>
    <w:r>
      <w:rPr>
        <w:rStyle w:val="6"/>
        <w:rFonts w:ascii="宋体" w:hAnsi="宋体" w:eastAsia="宋体"/>
        <w:sz w:val="28"/>
      </w:rPr>
      <w:t xml:space="preserve"> </w:t>
    </w:r>
    <w:r>
      <w:rPr>
        <w:rStyle w:val="6"/>
        <w:rFonts w:ascii="宋体" w:hAnsi="宋体" w:eastAsia="宋体"/>
        <w:sz w:val="28"/>
      </w:rPr>
      <w:fldChar w:fldCharType="begin"/>
    </w:r>
    <w:r>
      <w:rPr>
        <w:rStyle w:val="6"/>
        <w:rFonts w:ascii="宋体" w:hAnsi="宋体" w:eastAsia="宋体"/>
        <w:sz w:val="28"/>
      </w:rPr>
      <w:instrText xml:space="preserve">PAGE  </w:instrText>
    </w:r>
    <w:r>
      <w:rPr>
        <w:rStyle w:val="6"/>
        <w:rFonts w:ascii="宋体" w:hAnsi="宋体" w:eastAsia="宋体"/>
        <w:sz w:val="28"/>
      </w:rPr>
      <w:fldChar w:fldCharType="separate"/>
    </w:r>
    <w:r>
      <w:rPr>
        <w:rStyle w:val="6"/>
        <w:rFonts w:ascii="宋体" w:hAnsi="宋体" w:eastAsia="宋体"/>
        <w:sz w:val="28"/>
        <w:lang w:val="zh-CN" w:eastAsia="zh-CN"/>
      </w:rPr>
      <w:t>10</w:t>
    </w:r>
    <w:r>
      <w:rPr>
        <w:rStyle w:val="6"/>
        <w:rFonts w:ascii="宋体" w:hAnsi="宋体" w:eastAsia="宋体"/>
        <w:sz w:val="28"/>
      </w:rPr>
      <w:fldChar w:fldCharType="end"/>
    </w:r>
    <w:r>
      <w:rPr>
        <w:rStyle w:val="6"/>
        <w:rFonts w:ascii="宋体" w:hAnsi="宋体" w:eastAsia="宋体"/>
        <w:sz w:val="28"/>
      </w:rPr>
      <w:t xml:space="preserve"> —</w:t>
    </w:r>
  </w:p>
  <w:p>
    <w:pPr>
      <w:pStyle w:val="3"/>
      <w:ind w:right="360"/>
      <w:jc w:val="right"/>
      <w:rPr>
        <w:rFonts w:hint="eastAsia"/>
        <w:sz w:val="24"/>
      </w:rPr>
    </w:pPr>
    <w:r>
      <w:rPr>
        <w:rFonts w:hint="eastAsia"/>
        <w:kern w:val="0"/>
        <w:sz w:val="24"/>
        <w:szCs w:val="21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03030"/>
    <w:rsid w:val="14F0303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rPr>
      <w:rFonts w:ascii="仿宋_GB2312" w:eastAsia="仿宋_GB2312"/>
      <w:sz w:val="3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2016-01-20T08:57:00Z</dcterms:created>
  <dc:creator>Administrator</dc:creator>
  <cp:lastModifiedBy>Administrator</cp:lastModifiedBy>
  <dcterms:modified xsi:type="dcterms:W3CDTF">2016-01-20T08:57:54Z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