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kern w:val="0"/>
          <w:sz w:val="24"/>
          <w:szCs w:val="24"/>
        </w:rPr>
      </w:pPr>
      <w:bookmarkStart w:id="0" w:name="_GoBack"/>
      <w:bookmarkEnd w:id="0"/>
      <w:r>
        <w:rPr>
          <w:rFonts w:ascii="宋体" w:hAnsi="宋体" w:eastAsia="宋体" w:cs="宋体"/>
          <w:b/>
          <w:bCs/>
          <w:kern w:val="0"/>
          <w:sz w:val="72"/>
        </w:rPr>
        <w:t>福建省政府采购</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rPr>
        <w:t>货物和服务项目</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rPr>
        <w:t>公开招标文件</w:t>
      </w:r>
    </w:p>
    <w:p>
      <w:pPr>
        <w:widowControl/>
        <w:spacing w:before="75" w:after="75"/>
        <w:jc w:val="left"/>
        <w:rPr>
          <w:rFonts w:ascii="宋体" w:hAnsi="宋体" w:eastAsia="宋体" w:cs="宋体"/>
          <w:kern w:val="0"/>
          <w:sz w:val="24"/>
          <w:szCs w:val="24"/>
        </w:rPr>
      </w:pPr>
      <w:r>
        <w:rPr>
          <w:rFonts w:ascii="宋体" w:hAnsi="宋体" w:eastAsia="宋体" w:cs="宋体"/>
          <w:b/>
          <w:bCs/>
          <w:kern w:val="0"/>
          <w:sz w:val="72"/>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6"/>
        </w:rPr>
        <w:t> </w:t>
      </w:r>
    </w:p>
    <w:p>
      <w:pPr>
        <w:widowControl/>
        <w:spacing w:before="75" w:after="75"/>
        <w:jc w:val="center"/>
        <w:rPr>
          <w:rFonts w:hint="eastAsia" w:ascii="宋体" w:hAnsi="宋体" w:eastAsia="宋体" w:cs="宋体"/>
          <w:b/>
          <w:bCs/>
          <w:kern w:val="0"/>
          <w:sz w:val="30"/>
        </w:rPr>
      </w:pPr>
      <w:r>
        <w:rPr>
          <w:rFonts w:ascii="宋体" w:hAnsi="宋体" w:eastAsia="宋体" w:cs="宋体"/>
          <w:b/>
          <w:bCs/>
          <w:kern w:val="0"/>
          <w:sz w:val="30"/>
        </w:rPr>
        <w:t>项目名称：福州城市标识系统规划及重点区域详细设计服务类采购项目</w:t>
      </w:r>
    </w:p>
    <w:p>
      <w:pPr>
        <w:widowControl/>
        <w:spacing w:before="75" w:after="75"/>
        <w:jc w:val="center"/>
        <w:rPr>
          <w:rFonts w:hint="eastAsia" w:ascii="宋体" w:hAnsi="宋体" w:eastAsia="宋体" w:cs="宋体"/>
          <w:b/>
          <w:bCs/>
          <w:kern w:val="0"/>
          <w:sz w:val="30"/>
        </w:rPr>
      </w:pPr>
      <w:r>
        <w:rPr>
          <w:rFonts w:ascii="宋体" w:hAnsi="宋体" w:eastAsia="宋体" w:cs="宋体"/>
          <w:b/>
          <w:bCs/>
          <w:kern w:val="0"/>
          <w:sz w:val="30"/>
        </w:rPr>
        <w:t>备案编号：A-ZYGHJ-GK-201908-B0218-IDN</w:t>
      </w:r>
    </w:p>
    <w:p>
      <w:pPr>
        <w:widowControl/>
        <w:spacing w:before="75" w:after="75"/>
        <w:jc w:val="center"/>
        <w:rPr>
          <w:rFonts w:hint="eastAsia" w:ascii="宋体" w:hAnsi="宋体" w:eastAsia="宋体" w:cs="宋体"/>
          <w:b/>
          <w:bCs/>
          <w:kern w:val="0"/>
          <w:sz w:val="30"/>
        </w:rPr>
      </w:pPr>
      <w:r>
        <w:rPr>
          <w:rFonts w:ascii="宋体" w:hAnsi="宋体" w:eastAsia="宋体" w:cs="宋体"/>
          <w:b/>
          <w:bCs/>
          <w:kern w:val="0"/>
          <w:sz w:val="30"/>
        </w:rPr>
        <w:t>招标编号：[350100]FJYS[GK]2019019</w:t>
      </w:r>
      <w:r>
        <w:rPr>
          <w:rFonts w:ascii="宋体" w:hAnsi="宋体" w:eastAsia="宋体" w:cs="宋体"/>
          <w:b/>
          <w:bCs/>
          <w:kern w:val="0"/>
          <w:sz w:val="30"/>
          <w:szCs w:val="30"/>
        </w:rPr>
        <w:br w:type="textWrapping"/>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9"/>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object>
          <v:shape id="_x0000_i1025" o:spt="201" type="#_x0000_t201" style="height:18pt;width:72pt;" o:ole="t" filled="f" o:preferrelative="t" stroked="f" coordsize="21600,21600">
            <v:path/>
            <v:fill on="f" focussize="0,0"/>
            <v:stroke on="f" joinstyle="miter"/>
            <v:imagedata r:id="rId5" o:title=""/>
            <o:lock v:ext="edit" aspectratio="t"/>
            <w10:wrap type="none"/>
            <w10:anchorlock/>
          </v:shape>
        </w:object>
      </w:r>
      <w:r>
        <w:rPr>
          <w:rFonts w:ascii="宋体" w:hAnsi="宋体" w:eastAsia="宋体" w:cs="宋体"/>
          <w:kern w:val="0"/>
          <w:sz w:val="24"/>
          <w:szCs w:val="24"/>
        </w:rPr>
        <w:object>
          <v:shape id="_x0000_i1026" o:spt="201" type="#_x0000_t201" style="height:18pt;width:72pt;" o:ole="t" filled="f" o:preferrelative="t" stroked="f" coordsize="21600,21600">
            <v:path/>
            <v:fill on="f" focussize="0,0"/>
            <v:stroke on="f" joinstyle="miter"/>
            <v:imagedata r:id="rId5" o:title=""/>
            <o:lock v:ext="edit" aspectratio="t"/>
            <w10:wrap type="none"/>
            <w10:anchorlock/>
          </v:shape>
        </w:objec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7"/>
        </w:rPr>
        <w:t>采购人：</w:t>
      </w:r>
      <w:r>
        <w:rPr>
          <w:rFonts w:ascii="宋体" w:hAnsi="宋体" w:eastAsia="宋体" w:cs="宋体"/>
          <w:kern w:val="0"/>
          <w:sz w:val="27"/>
          <w:szCs w:val="27"/>
        </w:rPr>
        <w:t> </w:t>
      </w:r>
      <w:r>
        <w:rPr>
          <w:rFonts w:ascii="宋体" w:hAnsi="宋体" w:eastAsia="宋体" w:cs="宋体"/>
          <w:b/>
          <w:bCs/>
          <w:kern w:val="0"/>
          <w:sz w:val="29"/>
        </w:rPr>
        <w:t>福州市自然资源和规划局</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9"/>
        </w:rPr>
        <w:t>代理机构：福建优胜招标代理有限公司</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9"/>
        </w:rPr>
        <w:t>2019年08月</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ind w:right="720"/>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32"/>
        </w:rPr>
        <w:t>第一章   投标邀请</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采用</w:t>
      </w:r>
      <w:r>
        <w:rPr>
          <w:rFonts w:ascii="宋体" w:hAnsi="宋体" w:eastAsia="宋体" w:cs="宋体"/>
          <w:kern w:val="0"/>
          <w:sz w:val="24"/>
          <w:szCs w:val="24"/>
          <w:u w:val="single"/>
        </w:rPr>
        <w:t>公开招标方式</w:t>
      </w:r>
      <w:r>
        <w:rPr>
          <w:rFonts w:ascii="宋体" w:hAnsi="宋体" w:eastAsia="宋体" w:cs="宋体"/>
          <w:kern w:val="0"/>
          <w:sz w:val="24"/>
          <w:szCs w:val="24"/>
        </w:rPr>
        <w:t>组织福州城市标识系统规划及重点区域详细设计服务类采购项目（以下简称：“本项目”）的政府采购活动，现邀请供应商参加投标。</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1、备案编号：</w:t>
      </w:r>
      <w:r>
        <w:rPr>
          <w:rFonts w:ascii="宋体" w:hAnsi="宋体" w:eastAsia="宋体" w:cs="宋体"/>
          <w:kern w:val="0"/>
          <w:sz w:val="24"/>
          <w:szCs w:val="24"/>
          <w:u w:val="single"/>
        </w:rPr>
        <w:t>A-ZYGHJ-GK-201908-B0218-IDN</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2、招标编号：</w:t>
      </w:r>
      <w:r>
        <w:rPr>
          <w:rFonts w:ascii="宋体" w:hAnsi="宋体" w:eastAsia="宋体" w:cs="宋体"/>
          <w:kern w:val="0"/>
          <w:sz w:val="24"/>
          <w:szCs w:val="24"/>
          <w:u w:val="single"/>
        </w:rPr>
        <w:t>[350100]FJYS[GK]2019019</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3、预算金额、最高限价：详见《采购标的一览表》。</w:t>
      </w:r>
      <w:r>
        <w:rPr>
          <w:rFonts w:ascii="宋体" w:hAnsi="宋体" w:eastAsia="宋体" w:cs="宋体"/>
          <w:kern w:val="0"/>
          <w:sz w:val="24"/>
          <w:szCs w:val="24"/>
        </w:rPr>
        <w:br w:type="textWrapping"/>
      </w:r>
      <w:r>
        <w:rPr>
          <w:rFonts w:ascii="宋体" w:hAnsi="宋体" w:eastAsia="宋体" w:cs="宋体"/>
          <w:kern w:val="0"/>
          <w:sz w:val="24"/>
          <w:szCs w:val="24"/>
        </w:rPr>
        <w:t>  4、招标内容及要求：详见《采购标的一览表》及招标文件第五章。</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需要落实的政府采购政策：信用记录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hint="eastAsia" w:ascii="宋体" w:hAnsi="宋体" w:eastAsia="宋体" w:cs="宋体"/>
          <w:kern w:val="0"/>
          <w:sz w:val="24"/>
          <w:szCs w:val="24"/>
        </w:rPr>
        <w:t>①</w:t>
      </w:r>
      <w:r>
        <w:rPr>
          <w:rFonts w:ascii="宋体" w:hAnsi="宋体" w:eastAsia="宋体" w:cs="宋体"/>
          <w:kern w:val="0"/>
          <w:sz w:val="24"/>
          <w:szCs w:val="24"/>
        </w:rPr>
        <w:t>由资格审查小组通过上述网站查询并打印投标人信用记录（以下简称：“资格审查小组的查询结果”）。</w:t>
      </w:r>
      <w:r>
        <w:rPr>
          <w:rFonts w:hint="eastAsia" w:ascii="宋体" w:hAnsi="宋体" w:eastAsia="宋体" w:cs="宋体"/>
          <w:kern w:val="0"/>
          <w:sz w:val="24"/>
          <w:szCs w:val="24"/>
        </w:rPr>
        <w:t>②</w:t>
      </w:r>
      <w:r>
        <w:rPr>
          <w:rFonts w:ascii="宋体" w:hAnsi="宋体" w:eastAsia="宋体" w:cs="宋体"/>
          <w:kern w:val="0"/>
          <w:sz w:val="24"/>
          <w:szCs w:val="24"/>
        </w:rPr>
        <w:t>投标人提供的查询结果与资格审查小组的查询结果不一致的，以资格审查小组的查询结果为准。</w:t>
      </w:r>
      <w:r>
        <w:rPr>
          <w:rFonts w:hint="eastAsia" w:ascii="宋体" w:hAnsi="宋体" w:eastAsia="宋体" w:cs="宋体"/>
          <w:kern w:val="0"/>
          <w:sz w:val="24"/>
          <w:szCs w:val="24"/>
        </w:rPr>
        <w:t>③</w:t>
      </w:r>
      <w:r>
        <w:rPr>
          <w:rFonts w:ascii="宋体" w:hAnsi="宋体" w:eastAsia="宋体" w:cs="宋体"/>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Pr>
          <w:rFonts w:hint="eastAsia" w:ascii="宋体" w:hAnsi="宋体" w:eastAsia="宋体" w:cs="宋体"/>
          <w:kern w:val="0"/>
          <w:sz w:val="24"/>
          <w:szCs w:val="24"/>
        </w:rPr>
        <w:t>④</w:t>
      </w:r>
      <w:r>
        <w:rPr>
          <w:rFonts w:ascii="宋体" w:hAnsi="宋体" w:eastAsia="宋体" w:cs="宋体"/>
          <w:kern w:val="0"/>
          <w:sz w:val="24"/>
          <w:szCs w:val="24"/>
        </w:rPr>
        <w:t>查询结果存在投标人应被拒绝参与政府采购活动相关信息的，其资格审查不合格。</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6、投标人的资格要求</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6.1法定条件：符合政府采购法第二十二条第一款规定的条件。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6.2特定条件：</w:t>
      </w:r>
      <w:r>
        <w:rPr>
          <w:rFonts w:ascii="宋体" w:hAnsi="宋体" w:eastAsia="宋体" w:cs="宋体"/>
          <w:kern w:val="0"/>
          <w:sz w:val="24"/>
          <w:szCs w:val="24"/>
        </w:rPr>
        <w:br w:type="textWrapping"/>
      </w:r>
      <w:r>
        <w:rPr>
          <w:rFonts w:ascii="宋体" w:hAnsi="宋体" w:eastAsia="宋体" w:cs="宋体"/>
          <w:b/>
          <w:bCs/>
          <w:kern w:val="0"/>
          <w:sz w:val="24"/>
          <w:szCs w:val="24"/>
        </w:rPr>
        <w:t>包：1</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6.3是否接受联合体投标：不接受。</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根据上述资格要求，投标文件中应提交的“投标人的资格及资信证明文件”详见招标文件第四章。</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7、报名</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7.1报名期限：详见招标公告或更正公告（若有），若不一致，以更正公告（若有）为准。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hAnsi="宋体" w:eastAsia="宋体" w:cs="宋体"/>
          <w:b/>
          <w:bCs/>
          <w:kern w:val="0"/>
          <w:sz w:val="24"/>
          <w:szCs w:val="24"/>
        </w:rPr>
        <w:t>投标将被拒绝。</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8、招标文件的获取</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8.1招标文件提供期限：详见招标公告或更正公告（若有），若不一致，以更正公告（若有）为准。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8.2获取地点及方式：报名后，通过福建省政府采购网上公开信息系统以下载方式获取。</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8.3、招标文件售价：</w:t>
      </w:r>
      <w:r>
        <w:rPr>
          <w:rFonts w:ascii="Times New Roman" w:hAnsi="Times New Roman" w:eastAsia="宋体" w:cs="Times New Roman"/>
          <w:kern w:val="0"/>
          <w:sz w:val="24"/>
          <w:szCs w:val="24"/>
        </w:rPr>
        <w:t>0</w:t>
      </w:r>
      <w:r>
        <w:rPr>
          <w:rFonts w:ascii="宋体" w:hAnsi="宋体" w:eastAsia="宋体" w:cs="宋体"/>
          <w:kern w:val="0"/>
          <w:sz w:val="24"/>
          <w:szCs w:val="24"/>
        </w:rPr>
        <w:t>元。</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9、投标截止</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9.1投标截止时间：详见招标公告或更正公告（若有），若不一致，以更正公告（若有）为准。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9.2投标人应在投标截止时间前按照福建省政府采购网上公开信息系统设定的操作流程将电子投标文件上传至福建省政府采购网上公开信息系统，同时将</w:t>
      </w:r>
      <w:r>
        <w:rPr>
          <w:rFonts w:ascii="宋体" w:hAnsi="宋体" w:eastAsia="宋体" w:cs="宋体"/>
          <w:b/>
          <w:bCs/>
          <w:kern w:val="0"/>
          <w:sz w:val="24"/>
          <w:szCs w:val="24"/>
        </w:rPr>
        <w:t>投标人的CA证书</w:t>
      </w:r>
      <w:r>
        <w:rPr>
          <w:rFonts w:ascii="宋体" w:hAnsi="宋体" w:eastAsia="宋体" w:cs="宋体"/>
          <w:kern w:val="0"/>
          <w:sz w:val="24"/>
          <w:szCs w:val="24"/>
        </w:rPr>
        <w:t>连同</w:t>
      </w:r>
      <w:r>
        <w:rPr>
          <w:rFonts w:ascii="宋体" w:hAnsi="宋体" w:eastAsia="宋体" w:cs="宋体"/>
          <w:b/>
          <w:bCs/>
          <w:kern w:val="0"/>
          <w:sz w:val="24"/>
          <w:szCs w:val="24"/>
        </w:rPr>
        <w:t>密封的纸质投标文件</w:t>
      </w:r>
      <w:r>
        <w:rPr>
          <w:rFonts w:ascii="宋体" w:hAnsi="宋体" w:eastAsia="宋体" w:cs="宋体"/>
          <w:kern w:val="0"/>
          <w:sz w:val="24"/>
          <w:szCs w:val="24"/>
        </w:rPr>
        <w:t>送达招标文件第一章第10条载明的地点，否则</w:t>
      </w:r>
      <w:r>
        <w:rPr>
          <w:rFonts w:ascii="宋体" w:hAnsi="宋体" w:eastAsia="宋体" w:cs="宋体"/>
          <w:b/>
          <w:bCs/>
          <w:kern w:val="0"/>
          <w:sz w:val="24"/>
          <w:szCs w:val="24"/>
        </w:rPr>
        <w:t>投标将被拒绝。</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10、开标时间及地点：详见招标公告或更正公告（若有），若不一致，以更正公告（若有）为准。</w:t>
      </w:r>
      <w:r>
        <w:rPr>
          <w:rFonts w:ascii="宋体" w:hAnsi="宋体" w:eastAsia="宋体" w:cs="宋体"/>
          <w:b/>
          <w:bCs/>
          <w:kern w:val="0"/>
          <w:sz w:val="24"/>
          <w:szCs w:val="24"/>
        </w:rPr>
        <w:t> </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11、公告期限</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11.1招标公告的公告期限：自财政部和福建省财政厅指定的政府采购信息发布媒体最先发布公告之日起</w:t>
      </w:r>
      <w:r>
        <w:rPr>
          <w:rFonts w:ascii="Times New Roman" w:hAnsi="Times New Roman" w:eastAsia="宋体" w:cs="Times New Roman"/>
          <w:kern w:val="0"/>
          <w:sz w:val="24"/>
          <w:szCs w:val="24"/>
        </w:rPr>
        <w:t>5</w:t>
      </w:r>
      <w:r>
        <w:rPr>
          <w:rFonts w:ascii="宋体" w:hAnsi="宋体" w:eastAsia="宋体" w:cs="宋体"/>
          <w:kern w:val="0"/>
          <w:sz w:val="24"/>
          <w:szCs w:val="24"/>
        </w:rPr>
        <w:t>个工作日。</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11.2招标文件公告期限：招标文件随同招标公告一并发布，其公告期限与本章第</w:t>
      </w:r>
      <w:r>
        <w:rPr>
          <w:rFonts w:ascii="Times New Roman" w:hAnsi="Times New Roman" w:eastAsia="宋体" w:cs="Times New Roman"/>
          <w:kern w:val="0"/>
          <w:sz w:val="24"/>
          <w:szCs w:val="24"/>
        </w:rPr>
        <w:t>11.1</w:t>
      </w:r>
      <w:r>
        <w:rPr>
          <w:rFonts w:ascii="宋体" w:hAnsi="宋体" w:eastAsia="宋体" w:cs="宋体"/>
          <w:kern w:val="0"/>
          <w:sz w:val="24"/>
          <w:szCs w:val="24"/>
        </w:rPr>
        <w:t>条载明的期限保持一致。</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12、采购人：福州市自然资源和规划局</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地址：福州市仓山区南江滨西大道193号东部办公区4号楼5至8楼</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联系方法：15659978630</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13、代理机构：福建优胜招标代理有限公司</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地址：福州市鼓楼区洪山镇福三路20号华润万象城（一区）（一期）S2#楼4层01-03、05-12、15-18办公</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联系方法：0591-87679372/87679352</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附1：账户信息</w:t>
      </w:r>
    </w:p>
    <w:tbl>
      <w:tblPr>
        <w:tblStyle w:val="10"/>
        <w:tblW w:w="9498" w:type="dxa"/>
        <w:tblInd w:w="-321"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9498"/>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49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b/>
                <w:bCs/>
                <w:kern w:val="0"/>
                <w:sz w:val="24"/>
                <w:szCs w:val="24"/>
              </w:rPr>
              <w:t>投标保证金账户</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498"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开户名称：</w:t>
            </w:r>
            <w:r>
              <w:rPr>
                <w:rFonts w:ascii="宋体" w:hAnsi="宋体" w:eastAsia="宋体" w:cs="宋体"/>
                <w:kern w:val="0"/>
                <w:sz w:val="24"/>
                <w:szCs w:val="24"/>
                <w:u w:val="single"/>
                <w:shd w:val="clear" w:color="auto" w:fill="FFFFFF"/>
              </w:rPr>
              <w:t>福建优胜招标代理有限公司</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498"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开户银行：供应商在福建省政府采购网上公开信息系统报名后，根据其提示自行选择要缴交的投标保证金托管银行。</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498"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498"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498"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1、投标人应认真核对账户信息，将投标保证金汇入以上账户，并自行承担因汇错投标保证金而产生的一切后果。</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2、投标人在转账或电汇的凭证上应按照以下格式注明，以便核对：“（招标编号：</w:t>
            </w:r>
            <w:r>
              <w:rPr>
                <w:rFonts w:ascii="Times New Roman" w:hAnsi="Times New Roman" w:eastAsia="宋体" w:cs="Times New Roman"/>
                <w:kern w:val="0"/>
                <w:sz w:val="24"/>
                <w:szCs w:val="24"/>
              </w:rPr>
              <w:t>***</w:t>
            </w:r>
            <w:r>
              <w:rPr>
                <w:rFonts w:ascii="宋体" w:hAnsi="宋体" w:eastAsia="宋体" w:cs="宋体"/>
                <w:kern w:val="0"/>
                <w:sz w:val="24"/>
                <w:szCs w:val="24"/>
              </w:rPr>
              <w:t>、合同包：</w:t>
            </w:r>
            <w:r>
              <w:rPr>
                <w:rFonts w:ascii="Times New Roman" w:hAnsi="Times New Roman" w:eastAsia="宋体" w:cs="Times New Roman"/>
                <w:kern w:val="0"/>
                <w:sz w:val="24"/>
                <w:szCs w:val="24"/>
              </w:rPr>
              <w:t>***</w:t>
            </w:r>
            <w:r>
              <w:rPr>
                <w:rFonts w:ascii="宋体" w:hAnsi="宋体" w:eastAsia="宋体" w:cs="宋体"/>
                <w:kern w:val="0"/>
                <w:sz w:val="24"/>
                <w:szCs w:val="24"/>
              </w:rPr>
              <w:t>）的投标保证金”。</w:t>
            </w:r>
          </w:p>
        </w:tc>
      </w:tr>
    </w:tbl>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附2：采购标的一览表</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 w:val="24"/>
          <w:szCs w:val="24"/>
        </w:rPr>
        <w:t xml:space="preserve">金额单位：人民币元 </w:t>
      </w:r>
    </w:p>
    <w:tbl>
      <w:tblPr>
        <w:tblStyle w:val="10"/>
        <w:tblW w:w="9497" w:type="dxa"/>
        <w:tblInd w:w="-41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994"/>
        <w:gridCol w:w="851"/>
        <w:gridCol w:w="1702"/>
        <w:gridCol w:w="849"/>
        <w:gridCol w:w="708"/>
        <w:gridCol w:w="1789"/>
        <w:gridCol w:w="923"/>
        <w:gridCol w:w="1681"/>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9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合同包</w:t>
            </w:r>
          </w:p>
        </w:tc>
        <w:tc>
          <w:tcPr>
            <w:tcW w:w="851"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品目号</w:t>
            </w:r>
          </w:p>
        </w:tc>
        <w:tc>
          <w:tcPr>
            <w:tcW w:w="170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采购标的</w:t>
            </w:r>
          </w:p>
        </w:tc>
        <w:tc>
          <w:tcPr>
            <w:tcW w:w="84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允许进口</w:t>
            </w:r>
          </w:p>
        </w:tc>
        <w:tc>
          <w:tcPr>
            <w:tcW w:w="70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数量</w:t>
            </w:r>
          </w:p>
        </w:tc>
        <w:tc>
          <w:tcPr>
            <w:tcW w:w="17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品目号预算</w:t>
            </w:r>
          </w:p>
        </w:tc>
        <w:tc>
          <w:tcPr>
            <w:tcW w:w="92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合同包预算</w:t>
            </w:r>
          </w:p>
        </w:tc>
        <w:tc>
          <w:tcPr>
            <w:tcW w:w="1681"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99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w:t>
            </w:r>
          </w:p>
        </w:tc>
        <w:tc>
          <w:tcPr>
            <w:tcW w:w="5899" w:type="dxa"/>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10"/>
              <w:tblW w:w="5868" w:type="dxa"/>
              <w:jc w:val="center"/>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798"/>
              <w:gridCol w:w="1777"/>
              <w:gridCol w:w="799"/>
              <w:gridCol w:w="799"/>
              <w:gridCol w:w="1695"/>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1-1</w:t>
                  </w:r>
                </w:p>
              </w:tc>
              <w:tc>
                <w:tcPr>
                  <w:tcW w:w="17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城市规划和设计服务</w:t>
                  </w:r>
                </w:p>
              </w:tc>
              <w:tc>
                <w:tcPr>
                  <w:tcW w:w="79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否</w:t>
                  </w:r>
                </w:p>
              </w:tc>
              <w:tc>
                <w:tcPr>
                  <w:tcW w:w="79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1（项）</w:t>
                  </w:r>
                </w:p>
              </w:tc>
              <w:tc>
                <w:tcPr>
                  <w:tcW w:w="1695"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2</w:t>
                  </w:r>
                  <w:r>
                    <w:rPr>
                      <w:rFonts w:ascii="宋体" w:hAnsi="宋体" w:eastAsia="宋体" w:cs="宋体"/>
                      <w:kern w:val="0"/>
                      <w:sz w:val="24"/>
                      <w:szCs w:val="24"/>
                    </w:rPr>
                    <w:t>00,000.0000</w:t>
                  </w:r>
                </w:p>
              </w:tc>
            </w:tr>
          </w:tbl>
          <w:p>
            <w:pPr>
              <w:widowControl/>
              <w:spacing w:line="360" w:lineRule="auto"/>
              <w:rPr>
                <w:rFonts w:ascii="宋体" w:hAnsi="宋体" w:eastAsia="宋体" w:cs="宋体"/>
                <w:kern w:val="0"/>
                <w:sz w:val="24"/>
                <w:szCs w:val="24"/>
              </w:rPr>
            </w:pPr>
          </w:p>
        </w:tc>
        <w:tc>
          <w:tcPr>
            <w:tcW w:w="92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2200000</w:t>
            </w:r>
          </w:p>
        </w:tc>
        <w:tc>
          <w:tcPr>
            <w:tcW w:w="1681"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44000</w:t>
            </w:r>
          </w:p>
        </w:tc>
      </w:tr>
    </w:tbl>
    <w:p>
      <w:pPr>
        <w:widowControl/>
        <w:spacing w:before="75" w:after="75" w:line="360" w:lineRule="auto"/>
        <w:jc w:val="center"/>
        <w:rPr>
          <w:rFonts w:hint="eastAsia" w:ascii="宋体" w:hAnsi="宋体" w:eastAsia="宋体" w:cs="宋体"/>
          <w:b/>
          <w:bCs/>
          <w:kern w:val="0"/>
          <w:sz w:val="32"/>
        </w:rPr>
      </w:pPr>
    </w:p>
    <w:p>
      <w:pPr>
        <w:widowControl/>
        <w:jc w:val="center"/>
        <w:rPr>
          <w:rFonts w:ascii="宋体" w:hAnsi="宋体" w:eastAsia="宋体" w:cs="宋体"/>
          <w:kern w:val="0"/>
          <w:sz w:val="24"/>
          <w:szCs w:val="24"/>
        </w:rPr>
      </w:pPr>
      <w:r>
        <w:rPr>
          <w:rFonts w:hint="eastAsia" w:ascii="宋体" w:hAnsi="宋体" w:eastAsia="宋体" w:cs="宋体"/>
          <w:b/>
          <w:bCs/>
          <w:kern w:val="0"/>
          <w:sz w:val="32"/>
        </w:rPr>
        <w:br w:type="page"/>
      </w:r>
      <w:r>
        <w:rPr>
          <w:rFonts w:ascii="宋体" w:hAnsi="宋体" w:eastAsia="宋体" w:cs="宋体"/>
          <w:b/>
          <w:bCs/>
          <w:kern w:val="0"/>
          <w:sz w:val="32"/>
        </w:rPr>
        <w:t>第二章   投标人须知前附表（表1、</w:t>
      </w:r>
      <w:r>
        <w:rPr>
          <w:rFonts w:ascii="Times New Roman" w:hAnsi="Times New Roman" w:eastAsia="宋体" w:cs="Times New Roman"/>
          <w:b/>
          <w:bCs/>
          <w:kern w:val="0"/>
          <w:sz w:val="32"/>
        </w:rPr>
        <w:t>2</w:t>
      </w:r>
      <w:r>
        <w:rPr>
          <w:rFonts w:ascii="宋体" w:hAnsi="宋体" w:eastAsia="宋体" w:cs="宋体"/>
          <w:b/>
          <w:bCs/>
          <w:kern w:val="0"/>
          <w:sz w:val="32"/>
        </w:rPr>
        <w:t>）</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表1</w:t>
      </w:r>
    </w:p>
    <w:tbl>
      <w:tblPr>
        <w:tblStyle w:val="10"/>
        <w:tblW w:w="9073" w:type="dxa"/>
        <w:tblInd w:w="-321"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101"/>
        <w:gridCol w:w="1440"/>
        <w:gridCol w:w="653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073"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b/>
                <w:bCs/>
                <w:kern w:val="0"/>
                <w:sz w:val="24"/>
                <w:szCs w:val="24"/>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项号</w:t>
            </w:r>
          </w:p>
        </w:tc>
        <w:tc>
          <w:tcPr>
            <w:tcW w:w="14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招标文件</w:t>
            </w:r>
          </w:p>
          <w:p>
            <w:pPr>
              <w:widowControl/>
              <w:spacing w:line="360" w:lineRule="auto"/>
              <w:rPr>
                <w:rFonts w:ascii="宋体" w:hAnsi="宋体" w:eastAsia="宋体" w:cs="宋体"/>
                <w:kern w:val="0"/>
                <w:sz w:val="24"/>
                <w:szCs w:val="24"/>
              </w:rPr>
            </w:pPr>
            <w:r>
              <w:rPr>
                <w:rFonts w:ascii="宋体" w:hAnsi="宋体" w:eastAsia="宋体" w:cs="宋体"/>
                <w:kern w:val="0"/>
                <w:sz w:val="24"/>
                <w:szCs w:val="24"/>
              </w:rPr>
              <w:t>（第三章）</w:t>
            </w:r>
          </w:p>
        </w:tc>
        <w:tc>
          <w:tcPr>
            <w:tcW w:w="6532"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6.1</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w:t>
            </w:r>
            <w:r>
              <w:rPr>
                <w:rFonts w:ascii="宋体" w:hAnsi="宋体" w:eastAsia="宋体" w:cs="宋体"/>
                <w:kern w:val="0"/>
                <w:sz w:val="24"/>
                <w:szCs w:val="24"/>
              </w:rPr>
              <w:t>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2</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10.4</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投标文件的份数：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（1）纸质投标文件：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①资格及资信证明部分的正本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ascii="宋体" w:hAnsi="宋体" w:eastAsia="宋体" w:cs="宋体"/>
                <w:kern w:val="0"/>
                <w:sz w:val="24"/>
                <w:szCs w:val="24"/>
                <w:u w:val="single"/>
              </w:rPr>
              <w:t>2</w:t>
            </w:r>
            <w:r>
              <w:rPr>
                <w:rFonts w:ascii="宋体" w:hAnsi="宋体" w:eastAsia="宋体" w:cs="宋体"/>
                <w:kern w:val="0"/>
                <w:sz w:val="24"/>
                <w:szCs w:val="24"/>
              </w:rPr>
              <w:t>份，报价部分的正本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ascii="宋体" w:hAnsi="宋体" w:eastAsia="宋体" w:cs="宋体"/>
                <w:kern w:val="0"/>
                <w:sz w:val="24"/>
                <w:szCs w:val="24"/>
                <w:u w:val="single"/>
              </w:rPr>
              <w:t>2</w:t>
            </w:r>
            <w:r>
              <w:rPr>
                <w:rFonts w:ascii="宋体" w:hAnsi="宋体" w:eastAsia="宋体" w:cs="宋体"/>
                <w:kern w:val="0"/>
                <w:sz w:val="24"/>
                <w:szCs w:val="24"/>
              </w:rPr>
              <w:t>份，技术商务部分的正本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ascii="宋体" w:hAnsi="宋体" w:eastAsia="宋体" w:cs="宋体"/>
                <w:kern w:val="0"/>
                <w:sz w:val="24"/>
                <w:szCs w:val="24"/>
                <w:u w:val="single"/>
              </w:rPr>
              <w:t>2</w:t>
            </w:r>
            <w:r>
              <w:rPr>
                <w:rFonts w:ascii="宋体" w:hAnsi="宋体" w:eastAsia="宋体" w:cs="宋体"/>
                <w:kern w:val="0"/>
                <w:sz w:val="24"/>
                <w:szCs w:val="24"/>
              </w:rPr>
              <w:t>份。</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②可读介质（光盘或</w:t>
            </w:r>
            <w:r>
              <w:rPr>
                <w:rFonts w:ascii="Times New Roman" w:hAnsi="Times New Roman" w:eastAsia="宋体" w:cs="Times New Roman"/>
                <w:kern w:val="0"/>
                <w:sz w:val="24"/>
                <w:szCs w:val="24"/>
              </w:rPr>
              <w:t>U</w:t>
            </w:r>
            <w:r>
              <w:rPr>
                <w:rFonts w:ascii="宋体" w:hAnsi="宋体" w:eastAsia="宋体" w:cs="宋体"/>
                <w:kern w:val="0"/>
                <w:sz w:val="24"/>
                <w:szCs w:val="24"/>
              </w:rPr>
              <w:t>盘）</w:t>
            </w:r>
            <w:r>
              <w:rPr>
                <w:rFonts w:ascii="宋体" w:hAnsi="宋体" w:eastAsia="宋体" w:cs="宋体"/>
                <w:kern w:val="0"/>
                <w:sz w:val="24"/>
                <w:szCs w:val="24"/>
                <w:u w:val="single"/>
              </w:rPr>
              <w:t>1</w:t>
            </w:r>
            <w:r>
              <w:rPr>
                <w:rFonts w:ascii="宋体" w:hAnsi="宋体" w:eastAsia="宋体" w:cs="宋体"/>
                <w:kern w:val="0"/>
                <w:sz w:val="24"/>
                <w:szCs w:val="24"/>
              </w:rPr>
              <w:t>份：投标人应将其上传至福建省政府采购网上公开信息系统的电子投标文件在该可读介质中另存</w:t>
            </w:r>
            <w:r>
              <w:rPr>
                <w:rFonts w:ascii="宋体" w:hAnsi="宋体" w:eastAsia="宋体" w:cs="宋体"/>
                <w:kern w:val="0"/>
                <w:sz w:val="24"/>
                <w:szCs w:val="24"/>
                <w:u w:val="single"/>
              </w:rPr>
              <w:t>1</w:t>
            </w:r>
            <w:r>
              <w:rPr>
                <w:rFonts w:ascii="宋体" w:hAnsi="宋体" w:eastAsia="宋体" w:cs="宋体"/>
                <w:kern w:val="0"/>
                <w:sz w:val="24"/>
                <w:szCs w:val="24"/>
              </w:rPr>
              <w:t>份。</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（2）电子投标文件：详见表</w:t>
            </w:r>
            <w:r>
              <w:rPr>
                <w:rFonts w:ascii="Times New Roman" w:hAnsi="Times New Roman" w:eastAsia="宋体" w:cs="Times New Roman"/>
                <w:kern w:val="0"/>
                <w:sz w:val="24"/>
                <w:szCs w:val="24"/>
              </w:rPr>
              <w:t>2</w:t>
            </w:r>
            <w:r>
              <w:rPr>
                <w:rFonts w:ascii="宋体" w:hAnsi="宋体" w:eastAsia="宋体" w:cs="宋体"/>
                <w:kern w:val="0"/>
                <w:sz w:val="24"/>
                <w:szCs w:val="24"/>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3</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10.5-（</w:t>
            </w:r>
            <w:r>
              <w:rPr>
                <w:rFonts w:ascii="Times New Roman" w:hAnsi="Times New Roman" w:eastAsia="宋体" w:cs="Times New Roman"/>
                <w:kern w:val="0"/>
                <w:sz w:val="24"/>
                <w:szCs w:val="24"/>
              </w:rPr>
              <w:t>2</w:t>
            </w:r>
            <w:r>
              <w:rPr>
                <w:rFonts w:ascii="宋体" w:hAnsi="宋体" w:eastAsia="宋体" w:cs="宋体"/>
                <w:kern w:val="0"/>
                <w:sz w:val="24"/>
                <w:szCs w:val="24"/>
              </w:rPr>
              <w:t>）</w:t>
            </w:r>
            <w:r>
              <w:rPr>
                <w:rFonts w:ascii="Times New Roman" w:hAnsi="Times New Roman" w:eastAsia="宋体" w:cs="Times New Roman"/>
                <w:kern w:val="0"/>
                <w:sz w:val="24"/>
                <w:szCs w:val="24"/>
              </w:rPr>
              <w:t>-</w:t>
            </w:r>
            <w:r>
              <w:rPr>
                <w:rFonts w:ascii="宋体" w:hAnsi="宋体" w:eastAsia="宋体" w:cs="宋体"/>
                <w:kern w:val="0"/>
                <w:sz w:val="24"/>
                <w:szCs w:val="24"/>
              </w:rPr>
              <w:t>③</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（1）投标文件的补充、修改或撤回；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（2）其他内容或材料：无。</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4</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10.7-（</w:t>
            </w:r>
            <w:r>
              <w:rPr>
                <w:rFonts w:ascii="Times New Roman" w:hAnsi="Times New Roman" w:eastAsia="宋体" w:cs="Times New Roman"/>
                <w:kern w:val="0"/>
                <w:sz w:val="24"/>
                <w:szCs w:val="24"/>
              </w:rPr>
              <w:t>1</w:t>
            </w:r>
            <w:r>
              <w:rPr>
                <w:rFonts w:ascii="宋体" w:hAnsi="宋体" w:eastAsia="宋体" w:cs="宋体"/>
                <w:kern w:val="0"/>
                <w:sz w:val="24"/>
                <w:szCs w:val="24"/>
              </w:rPr>
              <w:t>）</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是否允许中标人将本项目的非主体、非关键性工作进行分包：</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不允许。</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5</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10.8-（</w:t>
            </w:r>
            <w:r>
              <w:rPr>
                <w:rFonts w:ascii="Calibri" w:hAnsi="Calibri" w:eastAsia="宋体" w:cs="宋体"/>
                <w:kern w:val="0"/>
                <w:sz w:val="24"/>
                <w:szCs w:val="24"/>
              </w:rPr>
              <w:t>1</w:t>
            </w:r>
            <w:r>
              <w:rPr>
                <w:rFonts w:ascii="宋体" w:hAnsi="宋体" w:eastAsia="宋体" w:cs="宋体"/>
                <w:kern w:val="0"/>
                <w:sz w:val="24"/>
                <w:szCs w:val="24"/>
              </w:rPr>
              <w:t>）</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投标有效期</w:t>
            </w:r>
            <w:r>
              <w:rPr>
                <w:rFonts w:ascii="宋体" w:hAnsi="宋体" w:eastAsia="宋体" w:cs="宋体"/>
                <w:kern w:val="0"/>
                <w:sz w:val="24"/>
                <w:szCs w:val="24"/>
              </w:rPr>
              <w:t>：投标截止时间起90个日历日。</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6</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10.10-（</w:t>
            </w:r>
            <w:r>
              <w:rPr>
                <w:rFonts w:ascii="Calibri" w:hAnsi="Calibri" w:eastAsia="宋体" w:cs="宋体"/>
                <w:kern w:val="0"/>
                <w:sz w:val="24"/>
                <w:szCs w:val="24"/>
              </w:rPr>
              <w:t>2</w:t>
            </w:r>
            <w:r>
              <w:rPr>
                <w:rFonts w:ascii="宋体" w:hAnsi="宋体" w:eastAsia="宋体" w:cs="宋体"/>
                <w:kern w:val="0"/>
                <w:sz w:val="24"/>
                <w:szCs w:val="24"/>
              </w:rPr>
              <w:t>）</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（1）全部纸质投标文件（包括正本、副本及可读介质）均应密封，否则</w:t>
            </w:r>
            <w:r>
              <w:rPr>
                <w:rFonts w:ascii="宋体" w:hAnsi="宋体" w:eastAsia="宋体" w:cs="宋体"/>
                <w:b/>
                <w:bCs/>
                <w:kern w:val="0"/>
                <w:sz w:val="24"/>
                <w:szCs w:val="24"/>
              </w:rPr>
              <w:t>投标将被拒绝。</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（2）密封的外包装应至少标记“项目名称、招标编号、所投合同包、投标人的全称”等内容，否则造成投标文件误投、遗漏或提前拆封的，</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（3）其他：无。</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7</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12.1</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本项目推荐合同包1中标候选人数为4家。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8</w:t>
            </w:r>
          </w:p>
        </w:tc>
        <w:tc>
          <w:tcPr>
            <w:tcW w:w="144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12.2</w:t>
            </w:r>
          </w:p>
        </w:tc>
        <w:tc>
          <w:tcPr>
            <w:tcW w:w="6532"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本项目中标人的确定（以合同包为单位）：</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（1）采购人应在政府采购招投标管理办法规定的时限内确定中标人。</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（2）若出现中标候选人并列情形，则按照下列方式确定中标人：</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①招标文件规定的方式：符合资格要求和技术商务符合性要求且投标报价前四名作为入围供应商。最低报价相同的情况下，按资格标准高低、商务服务优劣、技术指标响应情况顺序择优确定。。</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②若本款第①点规定方式为“无”，则按照下列方式确定：无。。</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③若本款第①、②点规定方式均为“无”，则按照下列方式确定：随机抽取。</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（3）本项目确定的中标人家数：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①本项目确定合同包1中标人数为4家；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②若出现中标候选人符合法定家数但不足本款第①点规定中标人家数情形，则按照中标候选人的实际家数确定中标人。</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9</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15.1-（</w:t>
            </w:r>
            <w:r>
              <w:rPr>
                <w:rFonts w:ascii="Times New Roman" w:hAnsi="Times New Roman" w:eastAsia="宋体" w:cs="Times New Roman"/>
                <w:kern w:val="0"/>
                <w:sz w:val="24"/>
                <w:szCs w:val="24"/>
              </w:rPr>
              <w:t>2</w:t>
            </w:r>
            <w:r>
              <w:rPr>
                <w:rFonts w:ascii="宋体" w:hAnsi="宋体" w:eastAsia="宋体" w:cs="宋体"/>
                <w:kern w:val="0"/>
                <w:sz w:val="24"/>
                <w:szCs w:val="24"/>
              </w:rPr>
              <w:t>）</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质疑函原件应采用下列方式提交：</w:t>
            </w:r>
            <w:r>
              <w:rPr>
                <w:rFonts w:ascii="宋体" w:hAnsi="宋体" w:eastAsia="宋体" w:cs="宋体"/>
                <w:kern w:val="0"/>
                <w:sz w:val="24"/>
                <w:szCs w:val="24"/>
              </w:rPr>
              <w:t>书面形式。</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10</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15.4</w:t>
            </w:r>
          </w:p>
          <w:p>
            <w:pPr>
              <w:widowControl/>
              <w:spacing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line="360" w:lineRule="auto"/>
              <w:rPr>
                <w:rFonts w:ascii="宋体" w:hAnsi="宋体" w:eastAsia="宋体" w:cs="宋体"/>
                <w:kern w:val="0"/>
                <w:sz w:val="24"/>
                <w:szCs w:val="24"/>
              </w:rPr>
            </w:pPr>
            <w:r>
              <w:rPr>
                <w:rFonts w:ascii="Calibri" w:hAnsi="Calibri" w:eastAsia="宋体" w:cs="宋体"/>
                <w:kern w:val="0"/>
                <w:sz w:val="24"/>
                <w:szCs w:val="24"/>
              </w:rPr>
              <w:t> </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招标文件的质疑</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（1）潜在投标人可在质疑时效期间内对招标文件以书面形式提出质疑。</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（2）质疑时效期间：</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①在招标文件公告期限内：自招标文件首次下载之日起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提出，招标文件公告期限、首次下载之日均以福建省政府采购网上公开信息系统记载的为准。</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②在招标文件公告期限截止后至招标文件提供期限届满前的期间内：自招标文件公告期限届满之日起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提出，招标文件公告期限、招标文件提供期限均以福建省政府采购网上公开信息系统记载的为准。</w:t>
            </w:r>
          </w:p>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※除上述规定外，对招标文件提出的质疑还应符合招标文件第三章第</w:t>
            </w:r>
            <w:r>
              <w:rPr>
                <w:rFonts w:ascii="Times New Roman" w:hAnsi="Times New Roman" w:eastAsia="宋体" w:cs="Times New Roman"/>
                <w:b/>
                <w:bCs/>
                <w:kern w:val="0"/>
                <w:sz w:val="24"/>
                <w:szCs w:val="24"/>
              </w:rPr>
              <w:t>15.1</w:t>
            </w:r>
            <w:r>
              <w:rPr>
                <w:rFonts w:ascii="宋体" w:hAnsi="宋体" w:eastAsia="宋体" w:cs="宋体"/>
                <w:b/>
                <w:bCs/>
                <w:kern w:val="0"/>
                <w:sz w:val="24"/>
                <w:szCs w:val="24"/>
              </w:rPr>
              <w:t>条的有关规定。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11</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16.1</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监督管理部门：</w:t>
            </w:r>
            <w:r>
              <w:rPr>
                <w:rFonts w:ascii="宋体" w:hAnsi="宋体" w:eastAsia="宋体" w:cs="宋体"/>
                <w:kern w:val="0"/>
                <w:sz w:val="24"/>
                <w:szCs w:val="24"/>
              </w:rPr>
              <w:t>福州采购办</w:t>
            </w:r>
            <w:r>
              <w:rPr>
                <w:rFonts w:ascii="宋体" w:hAnsi="宋体" w:eastAsia="宋体" w:cs="宋体"/>
                <w:b/>
                <w:bCs/>
                <w:kern w:val="0"/>
                <w:sz w:val="24"/>
                <w:szCs w:val="24"/>
              </w:rPr>
              <w:t>（仅限依法进行政府采购的货物或服务类项目）</w:t>
            </w:r>
            <w:r>
              <w:rPr>
                <w:rFonts w:ascii="宋体" w:hAnsi="宋体" w:eastAsia="宋体" w:cs="宋体"/>
                <w:kern w:val="0"/>
                <w:sz w:val="24"/>
                <w:szCs w:val="24"/>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12</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18.1</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财政部和福建省财政厅指定的政府采购信息发布媒体（以下简称：“指定媒体”）：</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（1）中国政府采购网，网址www.ccgp.gov.cn。</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（2）中国政府采购网福建分网（福建省政府采购网），网址zfcg.czt.fujian.gov.cn。</w:t>
            </w:r>
          </w:p>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※除招标文件第一章第</w:t>
            </w:r>
            <w:r>
              <w:rPr>
                <w:rFonts w:ascii="Times New Roman" w:hAnsi="Times New Roman" w:eastAsia="宋体" w:cs="Times New Roman"/>
                <w:b/>
                <w:bCs/>
                <w:kern w:val="0"/>
                <w:sz w:val="24"/>
                <w:szCs w:val="24"/>
              </w:rPr>
              <w:t>11.1</w:t>
            </w:r>
            <w:r>
              <w:rPr>
                <w:rFonts w:ascii="宋体" w:hAnsi="宋体" w:eastAsia="宋体" w:cs="宋体"/>
                <w:b/>
                <w:bCs/>
                <w:kern w:val="0"/>
                <w:sz w:val="24"/>
                <w:szCs w:val="24"/>
              </w:rPr>
              <w:t>条规定情形外，若出现上述指定媒体信息不一致情形，应以中国政府采购网福建分网（福建省政府采购网）发布的为准。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10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13</w:t>
            </w: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19</w:t>
            </w:r>
          </w:p>
        </w:tc>
        <w:tc>
          <w:tcPr>
            <w:tcW w:w="653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其他事项：</w:t>
            </w:r>
          </w:p>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(1)本项目代理服务费由中标人支付。</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(2)其他：招标代理服务费收费标准参照中华人民共和国国家计划委员会（计价格[2002]1980号）文件规定向中标人收取，服务费按差额定率累进法计算。招标代理服务费在中标人领取中标通知书前一次性缴清。 收取方式：转账等方式。 开 户 名：福建优胜招标代理有限公司 开 户 行：兴业银行福州华林支行 账 号：11713 01001 000 37952 </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2541" w:type="dxa"/>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备注</w:t>
            </w:r>
          </w:p>
        </w:tc>
        <w:tc>
          <w:tcPr>
            <w:tcW w:w="6532"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后有表</w:t>
            </w:r>
            <w:r>
              <w:rPr>
                <w:rFonts w:ascii="Times New Roman" w:hAnsi="Times New Roman" w:eastAsia="宋体" w:cs="Times New Roman"/>
                <w:b/>
                <w:bCs/>
                <w:kern w:val="0"/>
                <w:sz w:val="24"/>
                <w:szCs w:val="24"/>
              </w:rPr>
              <w:t>2</w:t>
            </w:r>
            <w:r>
              <w:rPr>
                <w:rFonts w:ascii="宋体" w:hAnsi="宋体" w:eastAsia="宋体" w:cs="宋体"/>
                <w:b/>
                <w:bCs/>
                <w:kern w:val="0"/>
                <w:sz w:val="24"/>
                <w:szCs w:val="24"/>
              </w:rPr>
              <w:t>，请勿遗漏。</w:t>
            </w:r>
          </w:p>
        </w:tc>
      </w:tr>
    </w:tbl>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表2</w:t>
      </w:r>
    </w:p>
    <w:tbl>
      <w:tblPr>
        <w:tblStyle w:val="10"/>
        <w:tblW w:w="9073" w:type="dxa"/>
        <w:tblInd w:w="-321"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793"/>
        <w:gridCol w:w="828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073"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b/>
                <w:bCs/>
                <w:kern w:val="0"/>
                <w:sz w:val="24"/>
                <w:szCs w:val="24"/>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793"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序号</w:t>
            </w:r>
          </w:p>
        </w:tc>
        <w:tc>
          <w:tcPr>
            <w:tcW w:w="828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793"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w:t>
            </w:r>
          </w:p>
        </w:tc>
        <w:tc>
          <w:tcPr>
            <w:tcW w:w="82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（1）招标文件中除下述第（</w:t>
            </w:r>
            <w:r>
              <w:rPr>
                <w:rFonts w:ascii="Calibri" w:hAnsi="Calibri" w:eastAsia="宋体" w:cs="宋体"/>
                <w:kern w:val="0"/>
                <w:sz w:val="24"/>
                <w:szCs w:val="24"/>
              </w:rPr>
              <w:t>2</w:t>
            </w:r>
            <w:r>
              <w:rPr>
                <w:rFonts w:ascii="宋体" w:hAnsi="宋体" w:eastAsia="宋体" w:cs="宋体"/>
                <w:kern w:val="0"/>
                <w:sz w:val="24"/>
                <w:szCs w:val="24"/>
              </w:rPr>
              <w:t>）、（</w:t>
            </w:r>
            <w:r>
              <w:rPr>
                <w:rFonts w:ascii="Calibri" w:hAnsi="Calibri" w:eastAsia="宋体" w:cs="宋体"/>
                <w:kern w:val="0"/>
                <w:sz w:val="24"/>
                <w:szCs w:val="24"/>
              </w:rPr>
              <w:t>3</w:t>
            </w:r>
            <w:r>
              <w:rPr>
                <w:rFonts w:ascii="宋体" w:hAnsi="宋体" w:eastAsia="宋体" w:cs="宋体"/>
                <w:kern w:val="0"/>
                <w:sz w:val="24"/>
                <w:szCs w:val="24"/>
              </w:rPr>
              <w:t>）款所述内容外的其他内容及规定适用本项目的电子招标投标活动。</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（2）将招标文件</w:t>
            </w:r>
            <w:r>
              <w:rPr>
                <w:rFonts w:ascii="宋体" w:hAnsi="宋体" w:eastAsia="宋体" w:cs="宋体"/>
                <w:kern w:val="0"/>
                <w:sz w:val="24"/>
                <w:szCs w:val="24"/>
                <w:u w:val="single"/>
              </w:rPr>
              <w:t>无。</w:t>
            </w:r>
            <w:r>
              <w:rPr>
                <w:rFonts w:ascii="宋体" w:hAnsi="宋体" w:eastAsia="宋体" w:cs="宋体"/>
                <w:kern w:val="0"/>
                <w:sz w:val="24"/>
                <w:szCs w:val="24"/>
              </w:rPr>
              <w:t>的内容</w:t>
            </w:r>
            <w:r>
              <w:rPr>
                <w:rFonts w:ascii="宋体" w:hAnsi="宋体" w:eastAsia="宋体" w:cs="宋体"/>
                <w:b/>
                <w:bCs/>
                <w:kern w:val="0"/>
                <w:sz w:val="24"/>
                <w:szCs w:val="24"/>
              </w:rPr>
              <w:t>修正为</w:t>
            </w:r>
            <w:r>
              <w:rPr>
                <w:rFonts w:ascii="宋体" w:hAnsi="宋体" w:eastAsia="宋体" w:cs="宋体"/>
                <w:kern w:val="0"/>
                <w:sz w:val="24"/>
                <w:szCs w:val="24"/>
              </w:rPr>
              <w:t>下列内容：</w:t>
            </w:r>
            <w:r>
              <w:rPr>
                <w:rFonts w:ascii="宋体" w:hAnsi="宋体" w:eastAsia="宋体" w:cs="宋体"/>
                <w:kern w:val="0"/>
                <w:sz w:val="24"/>
                <w:szCs w:val="24"/>
                <w:u w:val="single"/>
              </w:rPr>
              <w:t>无。</w:t>
            </w:r>
            <w:r>
              <w:rPr>
                <w:rFonts w:ascii="宋体" w:hAnsi="宋体" w:eastAsia="宋体" w:cs="宋体"/>
                <w:kern w:val="0"/>
                <w:sz w:val="24"/>
                <w:szCs w:val="24"/>
              </w:rPr>
              <w:t>后适用本项目的电子招标投标活动。</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（3）将下列内容</w:t>
            </w:r>
            <w:r>
              <w:rPr>
                <w:rFonts w:ascii="宋体" w:hAnsi="宋体" w:eastAsia="宋体" w:cs="宋体"/>
                <w:b/>
                <w:bCs/>
                <w:kern w:val="0"/>
                <w:sz w:val="24"/>
                <w:szCs w:val="24"/>
              </w:rPr>
              <w:t>增列为</w:t>
            </w:r>
            <w:r>
              <w:rPr>
                <w:rFonts w:ascii="宋体" w:hAnsi="宋体" w:eastAsia="宋体" w:cs="宋体"/>
                <w:kern w:val="0"/>
                <w:sz w:val="24"/>
                <w:szCs w:val="24"/>
              </w:rPr>
              <w:t>招标文件的组成部分（以下简称：“增列内容”）适用本项目的电子招标投标活动，若增列内容与招标文件其他章节内容有冲突，应以增列内容为准：</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①电子招标投标活动的具体操作流程以福建省政府采购网上公开信息系统设定的为准。</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②关于投标文件：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a.投标人应按照福建省政府采购网上公开信息系统设定的评审节点编制电子投标文件，否则</w:t>
            </w:r>
            <w:r>
              <w:rPr>
                <w:rFonts w:ascii="宋体" w:hAnsi="宋体" w:eastAsia="宋体" w:cs="宋体"/>
                <w:b/>
                <w:bCs/>
                <w:kern w:val="0"/>
                <w:sz w:val="24"/>
                <w:szCs w:val="24"/>
              </w:rPr>
              <w:t>资格审查小组、评标委员会将按照不利于投标人的内容进行认定。</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b.投标人应在投标截止时间前按照福建省政府采购网上公开信息系统设定的操作流程将电子投标文件</w:t>
            </w:r>
            <w:r>
              <w:rPr>
                <w:rFonts w:ascii="宋体" w:hAnsi="宋体" w:eastAsia="宋体" w:cs="宋体"/>
                <w:b/>
                <w:bCs/>
                <w:kern w:val="0"/>
                <w:sz w:val="24"/>
                <w:szCs w:val="24"/>
                <w:u w:val="single"/>
              </w:rPr>
              <w:t>1</w:t>
            </w:r>
            <w:r>
              <w:rPr>
                <w:rFonts w:ascii="宋体" w:hAnsi="宋体" w:eastAsia="宋体"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c.若出现福建省政府采购网上公开信息系统设定的意外情形（如：系统故障等），经本项目监督管理部门同意使用纸质投标文件的，应以纸质投标文件为准。</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③关于证明材料或资料：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a.除《检察机关行贿犯罪档案查询结果告知函》外，招标文件要求原件的，投标人在电子投标文件中可提供复印件（含扫描件），但在纸质投标文件正本中应提供原件</w:t>
            </w:r>
            <w:r>
              <w:rPr>
                <w:rFonts w:ascii="宋体" w:hAnsi="宋体" w:eastAsia="宋体" w:cs="宋体"/>
                <w:b/>
                <w:bCs/>
                <w:kern w:val="0"/>
                <w:sz w:val="24"/>
                <w:szCs w:val="24"/>
              </w:rPr>
              <w:t>（资格审查小组、评标委员会将核对纸质投标文件正本，未提供原件的证明材料或资料将导致投标无效）</w:t>
            </w:r>
            <w:r>
              <w:rPr>
                <w:rFonts w:ascii="宋体" w:hAnsi="宋体" w:eastAsia="宋体"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b.除《检察机关行贿犯罪档案查询结果告知函》外，若投标人提供注明“复印件无效”的证明材料或资料，其纸质投标文件正本中应提供原件</w:t>
            </w:r>
            <w:r>
              <w:rPr>
                <w:rFonts w:ascii="宋体" w:hAnsi="宋体" w:eastAsia="宋体" w:cs="宋体"/>
                <w:b/>
                <w:bCs/>
                <w:kern w:val="0"/>
                <w:sz w:val="24"/>
                <w:szCs w:val="24"/>
              </w:rPr>
              <w:t>（资格审查小组、评标委员会将核对纸质投标文件正本，未提供原件的证明材料或资料将导致投标无效）。</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c.《检察机关行贿犯罪档案查询结果告知函》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c2《检察机关行贿犯罪档案查询结果告知函》应在有效期内且内容完整、清晰、整洁，否则</w:t>
            </w:r>
            <w:r>
              <w:rPr>
                <w:rFonts w:ascii="宋体" w:hAnsi="宋体" w:eastAsia="宋体" w:cs="宋体"/>
                <w:b/>
                <w:bCs/>
                <w:kern w:val="0"/>
                <w:sz w:val="24"/>
                <w:szCs w:val="24"/>
              </w:rPr>
              <w:t>投标无效。</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c3有效期内的《检察机关行贿犯罪档案查询结果告知函》复印件（含扫描件）及符合招标文件第七章规定的打印件（或截图），无论内容中是否注明“复印件无效”，</w:t>
            </w:r>
            <w:r>
              <w:rPr>
                <w:rFonts w:ascii="宋体" w:hAnsi="宋体" w:eastAsia="宋体" w:cs="宋体"/>
                <w:b/>
                <w:bCs/>
                <w:kern w:val="0"/>
                <w:sz w:val="24"/>
                <w:szCs w:val="24"/>
              </w:rPr>
              <w:t>均视同有效。</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④关于“全称”、“投标人代表签字”及“加盖单位公章”：</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a.在电子投标文件中，涉及“全称”和“投标人代表签字”的内容可使用打字录入方式完成。</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b.在电子投标文件中，涉及“加盖单位公章”的内容应使用投标人的</w:t>
            </w:r>
            <w:r>
              <w:rPr>
                <w:rFonts w:ascii="Calibri" w:hAnsi="Calibri" w:eastAsia="宋体" w:cs="宋体"/>
                <w:kern w:val="0"/>
                <w:sz w:val="24"/>
                <w:szCs w:val="24"/>
              </w:rPr>
              <w:t>CA</w:t>
            </w:r>
            <w:r>
              <w:rPr>
                <w:rFonts w:ascii="宋体" w:hAnsi="宋体" w:eastAsia="宋体" w:cs="宋体"/>
                <w:kern w:val="0"/>
                <w:sz w:val="24"/>
                <w:szCs w:val="24"/>
              </w:rPr>
              <w:t>证书完成，否则</w:t>
            </w:r>
            <w:r>
              <w:rPr>
                <w:rFonts w:ascii="宋体" w:hAnsi="宋体" w:eastAsia="宋体" w:cs="宋体"/>
                <w:b/>
                <w:bCs/>
                <w:kern w:val="0"/>
                <w:sz w:val="24"/>
                <w:szCs w:val="24"/>
              </w:rPr>
              <w:t>投标无效。</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c.在电子投标文件中，若投标人按照本增列内容第④点第</w:t>
            </w:r>
            <w:r>
              <w:rPr>
                <w:rFonts w:ascii="Calibri" w:hAnsi="Calibri" w:eastAsia="宋体" w:cs="宋体"/>
                <w:kern w:val="0"/>
                <w:sz w:val="24"/>
                <w:szCs w:val="24"/>
              </w:rPr>
              <w:t>b</w:t>
            </w:r>
            <w:r>
              <w:rPr>
                <w:rFonts w:ascii="宋体" w:hAnsi="宋体" w:eastAsia="宋体" w:cs="宋体"/>
                <w:kern w:val="0"/>
                <w:sz w:val="24"/>
                <w:szCs w:val="24"/>
              </w:rPr>
              <w:t>项规定加盖其单位公章，则出现无全称、或投标人代表未签字等情形，</w:t>
            </w:r>
            <w:r>
              <w:rPr>
                <w:rFonts w:ascii="宋体" w:hAnsi="宋体" w:eastAsia="宋体" w:cs="宋体"/>
                <w:b/>
                <w:bCs/>
                <w:kern w:val="0"/>
                <w:sz w:val="24"/>
                <w:szCs w:val="24"/>
              </w:rPr>
              <w:t>不视为投标无效。</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⑤关于投标人的</w:t>
            </w:r>
            <w:r>
              <w:rPr>
                <w:rFonts w:ascii="Calibri" w:hAnsi="Calibri" w:eastAsia="宋体" w:cs="宋体"/>
                <w:kern w:val="0"/>
                <w:sz w:val="24"/>
                <w:szCs w:val="24"/>
              </w:rPr>
              <w:t>CA</w:t>
            </w:r>
            <w:r>
              <w:rPr>
                <w:rFonts w:ascii="宋体" w:hAnsi="宋体" w:eastAsia="宋体" w:cs="宋体"/>
                <w:kern w:val="0"/>
                <w:sz w:val="24"/>
                <w:szCs w:val="24"/>
              </w:rPr>
              <w:t>证书：</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a.投标人的</w:t>
            </w:r>
            <w:r>
              <w:rPr>
                <w:rFonts w:ascii="Calibri" w:hAnsi="Calibri" w:eastAsia="宋体" w:cs="宋体"/>
                <w:kern w:val="0"/>
                <w:sz w:val="24"/>
                <w:szCs w:val="24"/>
              </w:rPr>
              <w:t>CA</w:t>
            </w:r>
            <w:r>
              <w:rPr>
                <w:rFonts w:ascii="宋体" w:hAnsi="宋体" w:eastAsia="宋体" w:cs="宋体"/>
                <w:kern w:val="0"/>
                <w:sz w:val="24"/>
                <w:szCs w:val="24"/>
              </w:rPr>
              <w:t>证书应在投标截止时间前连同密封的纸质投标文件送达招标文件第一章第</w:t>
            </w:r>
            <w:r>
              <w:rPr>
                <w:rFonts w:ascii="Calibri" w:hAnsi="Calibri" w:eastAsia="宋体" w:cs="宋体"/>
                <w:kern w:val="0"/>
                <w:sz w:val="24"/>
                <w:szCs w:val="24"/>
              </w:rPr>
              <w:t>10</w:t>
            </w:r>
            <w:r>
              <w:rPr>
                <w:rFonts w:ascii="宋体" w:hAnsi="宋体" w:eastAsia="宋体" w:cs="宋体"/>
                <w:kern w:val="0"/>
                <w:sz w:val="24"/>
                <w:szCs w:val="24"/>
              </w:rPr>
              <w:t>条载明的地点，否则</w:t>
            </w:r>
            <w:r>
              <w:rPr>
                <w:rFonts w:ascii="宋体" w:hAnsi="宋体" w:eastAsia="宋体" w:cs="宋体"/>
                <w:b/>
                <w:bCs/>
                <w:kern w:val="0"/>
                <w:sz w:val="24"/>
                <w:szCs w:val="24"/>
              </w:rPr>
              <w:t>投标将被拒绝。</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b.投标人的</w:t>
            </w:r>
            <w:r>
              <w:rPr>
                <w:rFonts w:ascii="Calibri" w:hAnsi="Calibri" w:eastAsia="宋体" w:cs="宋体"/>
                <w:kern w:val="0"/>
                <w:sz w:val="24"/>
                <w:szCs w:val="24"/>
              </w:rPr>
              <w:t>CA</w:t>
            </w:r>
            <w:r>
              <w:rPr>
                <w:rFonts w:ascii="宋体" w:hAnsi="宋体" w:eastAsia="宋体" w:cs="宋体"/>
                <w:kern w:val="0"/>
                <w:sz w:val="24"/>
                <w:szCs w:val="24"/>
              </w:rPr>
              <w:t>证书可采用信封（包括但不限于：信封、档案袋、文件袋等）作为外包装进行单独包装。外包装密封、不密封皆可。</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c.投标人的</w:t>
            </w:r>
            <w:r>
              <w:rPr>
                <w:rFonts w:ascii="Calibri" w:hAnsi="Calibri" w:eastAsia="宋体" w:cs="宋体"/>
                <w:kern w:val="0"/>
                <w:sz w:val="24"/>
                <w:szCs w:val="24"/>
              </w:rPr>
              <w:t>CA</w:t>
            </w:r>
            <w:r>
              <w:rPr>
                <w:rFonts w:ascii="宋体" w:hAnsi="宋体" w:eastAsia="宋体" w:cs="宋体"/>
                <w:kern w:val="0"/>
                <w:sz w:val="24"/>
                <w:szCs w:val="24"/>
              </w:rPr>
              <w:t>证书或外包装应标记“项目名称、招标编号、投标人的全称”等内容，以方便识别、使用。</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d.投标人的</w:t>
            </w:r>
            <w:r>
              <w:rPr>
                <w:rFonts w:ascii="Calibri" w:hAnsi="Calibri" w:eastAsia="宋体" w:cs="宋体"/>
                <w:kern w:val="0"/>
                <w:sz w:val="24"/>
                <w:szCs w:val="24"/>
              </w:rPr>
              <w:t>CA</w:t>
            </w:r>
            <w:r>
              <w:rPr>
                <w:rFonts w:ascii="宋体" w:hAnsi="宋体" w:eastAsia="宋体" w:cs="宋体"/>
                <w:kern w:val="0"/>
                <w:sz w:val="24"/>
                <w:szCs w:val="24"/>
              </w:rPr>
              <w:t>证书应能正常、有效使用，否则产生不利后果由投标人承担责任。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⑥关于投标截止时间过后</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a.被福建省政府采购网上公开信息系统判定为投标保证金未提交（即未于投标截止时间前到达招标文件载明的投标保证金账户）的投标人，</w:t>
            </w:r>
            <w:r>
              <w:rPr>
                <w:rFonts w:ascii="宋体" w:hAnsi="宋体" w:eastAsia="宋体" w:cs="宋体"/>
                <w:b/>
                <w:bCs/>
                <w:kern w:val="0"/>
                <w:sz w:val="24"/>
                <w:szCs w:val="24"/>
              </w:rPr>
              <w:t>投标将被拒绝。</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b.有下列情形之一的，其</w:t>
            </w:r>
            <w:r>
              <w:rPr>
                <w:rFonts w:ascii="宋体" w:hAnsi="宋体" w:eastAsia="宋体" w:cs="宋体"/>
                <w:b/>
                <w:bCs/>
                <w:kern w:val="0"/>
                <w:sz w:val="24"/>
                <w:szCs w:val="24"/>
              </w:rPr>
              <w:t>投标无效</w:t>
            </w:r>
            <w:r>
              <w:rPr>
                <w:rFonts w:ascii="宋体" w:hAnsi="宋体" w:eastAsia="宋体" w:cs="宋体"/>
                <w:kern w:val="0"/>
                <w:sz w:val="24"/>
                <w:szCs w:val="24"/>
              </w:rPr>
              <w:t>,其保证金不予退还：</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b1不同投标人的电子投标文件被福建省政府采购网上公开信息系统判定为具有相同内部识别码；</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b2不同投标人的投标保证金被福建省政府采购网上公开信息系统判定为从同一单位或个人的账户转出；</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b3投标人的投标保证金被福建省政府采购网上公开信息系统判定为同一合同项下有其他投标人提交的投标保证金</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b4不同投标人被福建省政府采购网上公开信息系统判定为串通投标的其他情形。</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⑧其他：无。。</w:t>
            </w:r>
          </w:p>
        </w:tc>
      </w:tr>
    </w:tbl>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hint="eastAsia" w:ascii="宋体" w:hAnsi="宋体" w:eastAsia="宋体" w:cs="宋体"/>
          <w:b/>
          <w:bCs/>
          <w:kern w:val="0"/>
          <w:sz w:val="32"/>
        </w:rPr>
      </w:pPr>
      <w:r>
        <w:rPr>
          <w:rFonts w:hint="eastAsia" w:ascii="宋体" w:hAnsi="宋体" w:eastAsia="宋体" w:cs="宋体"/>
          <w:b/>
          <w:bCs/>
          <w:kern w:val="0"/>
          <w:sz w:val="32"/>
        </w:rPr>
        <w:br w:type="page"/>
      </w:r>
    </w:p>
    <w:p>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32"/>
        </w:rPr>
        <w:t>第三章   投标人须知</w:t>
      </w:r>
    </w:p>
    <w:p>
      <w:pPr>
        <w:widowControl/>
        <w:spacing w:before="75" w:after="75" w:line="360" w:lineRule="auto"/>
        <w:jc w:val="center"/>
        <w:rPr>
          <w:rFonts w:hint="eastAsia" w:ascii="宋体" w:hAnsi="宋体" w:eastAsia="宋体" w:cs="宋体"/>
          <w:kern w:val="0"/>
          <w:sz w:val="24"/>
          <w:szCs w:val="24"/>
        </w:rPr>
      </w:pP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1、适用范围</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1.1适用于招标文件载明项目的政府采购活动（以下简称：“本次采购活动”）。</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2、定义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2.1“采购标的”指招标文件载明的需要采购的货物或服务。</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2.2“潜在投标人”指按照招标文件第一章第</w:t>
      </w:r>
      <w:r>
        <w:rPr>
          <w:rFonts w:ascii="Calibri" w:hAnsi="Calibri" w:eastAsia="宋体" w:cs="宋体"/>
          <w:kern w:val="0"/>
          <w:sz w:val="24"/>
          <w:szCs w:val="24"/>
        </w:rPr>
        <w:t>7</w:t>
      </w:r>
      <w:r>
        <w:rPr>
          <w:rFonts w:ascii="宋体" w:hAnsi="宋体" w:eastAsia="宋体" w:cs="宋体"/>
          <w:kern w:val="0"/>
          <w:sz w:val="24"/>
          <w:szCs w:val="24"/>
        </w:rPr>
        <w:t>条规定进行报名且有意向参加本项目投标的供应商。</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2.3“投标人”指按照招标文件第一章第</w:t>
      </w:r>
      <w:r>
        <w:rPr>
          <w:rFonts w:ascii="Calibri" w:hAnsi="Calibri" w:eastAsia="宋体" w:cs="宋体"/>
          <w:kern w:val="0"/>
          <w:sz w:val="24"/>
          <w:szCs w:val="24"/>
        </w:rPr>
        <w:t>7</w:t>
      </w:r>
      <w:r>
        <w:rPr>
          <w:rFonts w:ascii="宋体" w:hAnsi="宋体" w:eastAsia="宋体" w:cs="宋体"/>
          <w:kern w:val="0"/>
          <w:sz w:val="24"/>
          <w:szCs w:val="24"/>
        </w:rPr>
        <w:t>条规定进行报名并参加本项目投标的供应商。</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2.4“单位负责人”指单位法定代表人或法律、法规规定代表单位行使职权的主要负责人。</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2.5“投标人代表”指投标人的单位负责人或“单位负责人授权书”中载明的接受授权方。</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二、投标人</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3、合格投标人</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（2）投标人的资格要求：详见招标文件第一章。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3.2若本项目接受联合体投标且投标人为联合体，则联合体各方应遵守本章第3.1条规定，同时还应遵守下列规定：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（1）联合体各方应提交联合体协议，联合体协议应符合招标文件规定。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（2）联合体各方不得再单独参加或与其他供应商另外组成联合体参加同一合同项下的投标。</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4、投标费用</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4.1除招标文件另有规定外，投标人应自行承担其参加本项目投标所涉及的一切费用。</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三、招标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5、招标文件</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5.1招标文件由下述部分组成：</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（1）投标邀请</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（2）投标人须知前附表（表</w:t>
      </w:r>
      <w:r>
        <w:rPr>
          <w:rFonts w:ascii="Calibri" w:hAnsi="Calibri" w:eastAsia="宋体" w:cs="宋体"/>
          <w:kern w:val="0"/>
          <w:sz w:val="24"/>
          <w:szCs w:val="24"/>
        </w:rPr>
        <w:t>1</w:t>
      </w:r>
      <w:r>
        <w:rPr>
          <w:rFonts w:ascii="宋体" w:hAnsi="宋体" w:eastAsia="宋体" w:cs="宋体"/>
          <w:kern w:val="0"/>
          <w:sz w:val="24"/>
          <w:szCs w:val="24"/>
        </w:rPr>
        <w:t>、</w:t>
      </w:r>
      <w:r>
        <w:rPr>
          <w:rFonts w:ascii="Calibri" w:hAnsi="Calibri" w:eastAsia="宋体" w:cs="宋体"/>
          <w:kern w:val="0"/>
          <w:sz w:val="24"/>
          <w:szCs w:val="24"/>
        </w:rPr>
        <w:t>2</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（3）投标人须知</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（4）资格审查与评标</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（5）招标内容及要求</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（6）政府采购合同（参考文本）</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（7）投标文件格式</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（8）按照招标文件规定作为招标文件组成部分的其他内容（若有）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5.2招标文件的澄清或修改</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可对已发出的招标文件进行必要的澄清或修改，但不得对招标文件载明的采购标的和投标人的资格要求进行改变。</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（2）除本章第</w:t>
      </w:r>
      <w:r>
        <w:rPr>
          <w:rFonts w:ascii="Calibri" w:hAnsi="Calibri" w:eastAsia="宋体" w:cs="宋体"/>
          <w:kern w:val="0"/>
          <w:sz w:val="24"/>
          <w:szCs w:val="24"/>
        </w:rPr>
        <w:t>5.2</w:t>
      </w:r>
      <w:r>
        <w:rPr>
          <w:rFonts w:ascii="宋体" w:hAnsi="宋体" w:eastAsia="宋体" w:cs="宋体"/>
          <w:kern w:val="0"/>
          <w:sz w:val="24"/>
          <w:szCs w:val="24"/>
        </w:rPr>
        <w:t>条第（</w:t>
      </w:r>
      <w:r>
        <w:rPr>
          <w:rFonts w:ascii="Calibri" w:hAnsi="Calibri" w:eastAsia="宋体" w:cs="宋体"/>
          <w:kern w:val="0"/>
          <w:sz w:val="24"/>
          <w:szCs w:val="24"/>
        </w:rPr>
        <w:t>3</w:t>
      </w:r>
      <w:r>
        <w:rPr>
          <w:rFonts w:ascii="宋体" w:hAnsi="宋体" w:eastAsia="宋体" w:cs="宋体"/>
          <w:kern w:val="0"/>
          <w:sz w:val="24"/>
          <w:szCs w:val="24"/>
        </w:rPr>
        <w:t>）款规定情形外，澄清或修改的内容可能影响投标文件编制的，</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将在投标截止时间至少15个日历日前，在招标文件载明的指定媒体以更正公告的形式发布澄清或修改的内容。不足</w:t>
      </w:r>
      <w:r>
        <w:rPr>
          <w:rFonts w:ascii="Calibri" w:hAnsi="Calibri" w:eastAsia="宋体" w:cs="宋体"/>
          <w:kern w:val="0"/>
          <w:sz w:val="24"/>
          <w:szCs w:val="24"/>
        </w:rPr>
        <w:t>15</w:t>
      </w:r>
      <w:r>
        <w:rPr>
          <w:rFonts w:ascii="宋体" w:hAnsi="宋体" w:eastAsia="宋体" w:cs="宋体"/>
          <w:kern w:val="0"/>
          <w:sz w:val="24"/>
          <w:szCs w:val="24"/>
        </w:rPr>
        <w:t>个日历日的，</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将顺延投标截止时间及开标时间，</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和投标人受原投标截止时间及开标时间制约的所有权利和义务均延长至新的投标截止时间及开标时间。</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（3）澄清或修改的内容可能改变招标文件载明的采购标的和投标人的资格要求的，本次采购活动结束，</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将依法组织后续采购活动（包括但不限于：重新招标、采用其他方式采购等）。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6、现场考察或开标前答疑会</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6.1是否组织现场考察或召开开标前答疑会：详见招标文件第二章。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7、更正公告</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7.1若</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发布更正公告，则更正公告及其所发布的内容或信息（包括但不限于：招标文件的澄清或修改、现场考察或答疑会的有关事宜等）</w:t>
      </w:r>
      <w:r>
        <w:rPr>
          <w:rFonts w:ascii="宋体" w:hAnsi="宋体" w:eastAsia="宋体" w:cs="宋体"/>
          <w:b/>
          <w:bCs/>
          <w:kern w:val="0"/>
          <w:sz w:val="24"/>
          <w:szCs w:val="24"/>
        </w:rPr>
        <w:t>作为招标文件组成部分</w:t>
      </w:r>
      <w:r>
        <w:rPr>
          <w:rFonts w:ascii="宋体" w:hAnsi="宋体" w:eastAsia="宋体" w:cs="宋体"/>
          <w:kern w:val="0"/>
          <w:sz w:val="24"/>
          <w:szCs w:val="24"/>
        </w:rPr>
        <w:t>，对投标人具有约束力。</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7.2更正公告作为</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通知所有潜在投标人的书面形式。</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8、终止公告</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8.1若出现因重大变故导致采购任务取消情形，福建优胜招标代理有限公司可终止招标并发布终止公告。</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8.2终止公告作为福建优胜招标代理有限公司通知所有潜在投标人的书面形式。</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四、投标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9、投标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9.1投标人可对招标文件载明的全部或部分合同包进行投标。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9.2投标人应对同一个合同包内的所有内容进行完整投标，否则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9.3投标人代表只能接受一个投标人的授权参加投标，否则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9.4单位负责人为同一人或存在直接控股、管理关系的不同供应商，不得同时参加同一合同项下的投标，否则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9.7有下列情形之一的，视为投标人串通投标，</w:t>
      </w:r>
      <w:r>
        <w:rPr>
          <w:rFonts w:ascii="宋体" w:hAnsi="宋体" w:eastAsia="宋体" w:cs="宋体"/>
          <w:b/>
          <w:bCs/>
          <w:kern w:val="0"/>
          <w:sz w:val="24"/>
          <w:szCs w:val="24"/>
        </w:rPr>
        <w:t>其投标无效：</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（1）不同投标人的投标文件由同一单位或个人编制；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（2）不同投标人委托同一单位或个人办理投标事宜；</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（3）不同投标人的投标文件载明的项目管理成员或联系人员为同一人；</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（4）不同投标人的投标文件异常一致或投标报价呈规律性差异；</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（5）不同投标人的投标文件相互混装；</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（6）不同投标人的投标保证金从同一单位或个人的账户转出；</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（7）有关法律、法规和规章及招标文件规定的其他串通投标情形。</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10、投标文件</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10.1投标文件的编制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（1）投标人应先仔细阅读招标文件的全部内容后，再进行投标文件的编制。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（2）投标文件应按照本章第</w:t>
      </w:r>
      <w:r>
        <w:rPr>
          <w:rFonts w:ascii="Calibri" w:hAnsi="Calibri" w:eastAsia="宋体" w:cs="宋体"/>
          <w:kern w:val="0"/>
          <w:sz w:val="24"/>
          <w:szCs w:val="24"/>
        </w:rPr>
        <w:t>10.2</w:t>
      </w:r>
      <w:r>
        <w:rPr>
          <w:rFonts w:ascii="宋体" w:hAnsi="宋体" w:eastAsia="宋体" w:cs="宋体"/>
          <w:kern w:val="0"/>
          <w:sz w:val="24"/>
          <w:szCs w:val="24"/>
        </w:rPr>
        <w:t>条规定编制其组成部分。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10.2投标文件由下述部分组成：</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（1）资格及资信证明部分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投标函</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投标人的资格及资信证明文件</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投标保证金</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（2）报价部分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投标分项报价表</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招标文件规定的价格扣除证明材料（若有）</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招标文件规定的加分证明材料（若有）</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（3）技术商务部分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标的说明一览表</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技术和服务要求响应表</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商务条件响应表</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投标人提交的其他资料（若有）</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招标文件规定作为投标文件组成部分的其他内容（若有）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10.3投标文件的语言</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（1）除招标文件另有规定外，投标文件应使用中文文本，若有不同文本，以中文文本为准。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10.4投标文件的份数：详见招标文件第二章。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10.5投标文件的格式</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（1）除招标文件另有规定外，投标文件应使用招标文件第七章规定的格式。</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（2）除招标文件另有规定外，投标文件的正本和全部副本均应使用不能擦去的墨料或墨水打印、书写或复印，其中：</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正本应用</w:t>
      </w:r>
      <w:r>
        <w:rPr>
          <w:rFonts w:ascii="Calibri" w:hAnsi="Calibri" w:eastAsia="宋体" w:cs="宋体"/>
          <w:kern w:val="0"/>
          <w:sz w:val="24"/>
          <w:szCs w:val="24"/>
        </w:rPr>
        <w:t>A4</w:t>
      </w:r>
      <w:r>
        <w:rPr>
          <w:rFonts w:ascii="宋体" w:hAnsi="宋体" w:eastAsia="宋体" w:cs="宋体"/>
          <w:kern w:val="0"/>
          <w:sz w:val="24"/>
          <w:szCs w:val="24"/>
        </w:rPr>
        <w:t>幅面纸张打印装订，编制封面（封面标明“正本”字样）、索引、页码，并用胶装装订成册。</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副本应用</w:t>
      </w:r>
      <w:r>
        <w:rPr>
          <w:rFonts w:ascii="Calibri" w:hAnsi="Calibri" w:eastAsia="宋体" w:cs="宋体"/>
          <w:kern w:val="0"/>
          <w:sz w:val="24"/>
          <w:szCs w:val="24"/>
        </w:rPr>
        <w:t>A4</w:t>
      </w:r>
      <w:r>
        <w:rPr>
          <w:rFonts w:ascii="宋体" w:hAnsi="宋体" w:eastAsia="宋体" w:cs="宋体"/>
          <w:kern w:val="0"/>
          <w:sz w:val="24"/>
          <w:szCs w:val="24"/>
        </w:rPr>
        <w:t>幅面纸张打印装订，编制封面（封面标明“副本”字样）、索引、页码，并用胶装装订成册；副本可用正本的完整复印件，并与正本保持一致（若不一致，以正本为准）。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允许散装或活页装订的内容或材料：详见招标文件第二章。</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除本章第</w:t>
      </w:r>
      <w:r>
        <w:rPr>
          <w:rFonts w:ascii="Calibri" w:hAnsi="Calibri" w:eastAsia="宋体" w:cs="宋体"/>
          <w:b/>
          <w:bCs/>
          <w:kern w:val="0"/>
          <w:sz w:val="24"/>
          <w:szCs w:val="24"/>
        </w:rPr>
        <w:t>10.5</w:t>
      </w:r>
      <w:r>
        <w:rPr>
          <w:rFonts w:ascii="宋体" w:hAnsi="宋体" w:eastAsia="宋体" w:cs="宋体"/>
          <w:b/>
          <w:bCs/>
          <w:kern w:val="0"/>
          <w:sz w:val="24"/>
          <w:szCs w:val="24"/>
        </w:rPr>
        <w:t>条第（</w:t>
      </w:r>
      <w:r>
        <w:rPr>
          <w:rFonts w:ascii="Calibri" w:hAnsi="Calibri" w:eastAsia="宋体" w:cs="宋体"/>
          <w:b/>
          <w:bCs/>
          <w:kern w:val="0"/>
          <w:sz w:val="24"/>
          <w:szCs w:val="24"/>
        </w:rPr>
        <w:t>2</w:t>
      </w:r>
      <w:r>
        <w:rPr>
          <w:rFonts w:ascii="宋体" w:hAnsi="宋体" w:eastAsia="宋体" w:cs="宋体"/>
          <w:b/>
          <w:bCs/>
          <w:kern w:val="0"/>
          <w:sz w:val="24"/>
          <w:szCs w:val="24"/>
        </w:rPr>
        <w:t>）款第</w:t>
      </w:r>
      <w:r>
        <w:rPr>
          <w:rFonts w:hint="eastAsia" w:ascii="宋体" w:hAnsi="宋体" w:eastAsia="宋体" w:cs="宋体"/>
          <w:b/>
          <w:bCs/>
          <w:kern w:val="0"/>
          <w:sz w:val="24"/>
          <w:szCs w:val="24"/>
        </w:rPr>
        <w:t>③</w:t>
      </w:r>
      <w:r>
        <w:rPr>
          <w:rFonts w:ascii="宋体" w:hAnsi="宋体" w:eastAsia="宋体" w:cs="宋体"/>
          <w:b/>
          <w:bCs/>
          <w:kern w:val="0"/>
          <w:sz w:val="24"/>
          <w:szCs w:val="24"/>
        </w:rPr>
        <w:t>点规定情形外，投标文件散装或活页装订将导致投标无效。</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（3）除招标文件另有规定外，投标文件应使用人民币作为计量货币。</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（4）除招标文件另有规定外，签署、盖章应遵守下列规定：</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投标文件应由投标人代表签字并加盖投标人的单位公章。若投标人代表为单位负责人授权的委托代理人，应提供“单位负责人授权书”。</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投标文件应没有涂改或行间插字，除非这些改动是根据</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的指示进行的，或是为改正投标人造成的应修改的错误而进行的。若有前述改动，应按照下列规定之一对改动处进行处理：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a.投标人代表签字确认；</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b.加盖投标人的单位公章或校正章。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10.6投标报价</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（1）投标报价超出最高限价将导致</w:t>
      </w:r>
      <w:r>
        <w:rPr>
          <w:rFonts w:ascii="宋体" w:hAnsi="宋体" w:eastAsia="宋体" w:cs="宋体"/>
          <w:b/>
          <w:bCs/>
          <w:kern w:val="0"/>
          <w:sz w:val="24"/>
          <w:szCs w:val="24"/>
        </w:rPr>
        <w:t>投标无效。</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（2）最高限价由采购人根据价格测算情况，在预算金额的额度内合理设定。最高限价不得超出预算金额。</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kern w:val="0"/>
          <w:sz w:val="24"/>
          <w:szCs w:val="24"/>
        </w:rPr>
        <w:t>投标无效。</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10.7分包</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（1）是否允许中标人将本项目的非主体、非关键性工作进行分包：详见招标文件第二章。</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（3）招标文件允许中标人将非主体、非关键性工作进行分包的项目，有下列情形之一的，中标人不得分包：</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投标文件中未载明分包承担主体；</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投标文件载明的分包承担主体不具备相应资质条件；</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投标文件载明的分包承担主体拟再次分包。</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10.8投标有效期</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（1）招标文件载明的投标有效期：详见招标文件第二章。</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（2）投标文件承诺的投标有效期不得少于招标文件载明的投标有效期，否则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（3）根据本次采购活动的需要，</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可于投标有效期届满之前书面要求投标人延长投标有效期，投标人应在</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10.9投标保证金</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（1）投标保证金作为投标人按照招标文件规定履行相应投标责任、义务的约束及担保。</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（2）投标保证金的有效期应与投标文件承诺的投标有效期保持一致，否则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（3）提交</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投标人应从其银行账户</w:t>
      </w:r>
      <w:r>
        <w:rPr>
          <w:rFonts w:ascii="宋体" w:hAnsi="宋体" w:eastAsia="宋体" w:cs="宋体"/>
          <w:b/>
          <w:bCs/>
          <w:kern w:val="0"/>
          <w:sz w:val="24"/>
          <w:szCs w:val="24"/>
        </w:rPr>
        <w:t>（基本存款账户）</w:t>
      </w:r>
      <w:r>
        <w:rPr>
          <w:rFonts w:ascii="宋体" w:hAnsi="宋体" w:eastAsia="宋体" w:cs="宋体"/>
          <w:kern w:val="0"/>
          <w:sz w:val="24"/>
          <w:szCs w:val="24"/>
        </w:rPr>
        <w:t>按照下列方式：</w:t>
      </w:r>
      <w:r>
        <w:rPr>
          <w:rFonts w:ascii="宋体" w:hAnsi="宋体" w:eastAsia="宋体" w:cs="宋体"/>
          <w:b/>
          <w:bCs/>
          <w:kern w:val="0"/>
          <w:sz w:val="24"/>
          <w:szCs w:val="24"/>
        </w:rPr>
        <w:t>公对公转账方式</w:t>
      </w:r>
      <w:r>
        <w:rPr>
          <w:rFonts w:ascii="宋体" w:hAnsi="宋体" w:eastAsia="宋体" w:cs="宋体"/>
          <w:kern w:val="0"/>
          <w:sz w:val="24"/>
          <w:szCs w:val="24"/>
        </w:rPr>
        <w:t>向招标文件载明的投标保证金账户提交投标保证金，具体金额详见招标文件第一章。</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投标保证金应于投标截止时间前到达招标文件载明的投标保证金账户，否则视为投标保证金未提交；是否到达按照下列方式认定：</w:t>
      </w:r>
      <w:r>
        <w:rPr>
          <w:rFonts w:ascii="宋体" w:hAnsi="宋体" w:eastAsia="宋体" w:cs="宋体"/>
          <w:b/>
          <w:bCs/>
          <w:kern w:val="0"/>
          <w:sz w:val="24"/>
          <w:szCs w:val="24"/>
        </w:rPr>
        <w:t>以福建省政府采购网上公开信息系统记载的为准。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若本项目接受联合体投标且投标人为联合体，则联合体中的牵头方应按照本章第</w:t>
      </w:r>
      <w:r>
        <w:rPr>
          <w:rFonts w:ascii="Calibri" w:hAnsi="Calibri" w:eastAsia="宋体" w:cs="宋体"/>
          <w:kern w:val="0"/>
          <w:sz w:val="24"/>
          <w:szCs w:val="24"/>
        </w:rPr>
        <w:t>10.9</w:t>
      </w:r>
      <w:r>
        <w:rPr>
          <w:rFonts w:ascii="宋体" w:hAnsi="宋体" w:eastAsia="宋体" w:cs="宋体"/>
          <w:kern w:val="0"/>
          <w:sz w:val="24"/>
          <w:szCs w:val="24"/>
        </w:rPr>
        <w:t>条第（</w:t>
      </w:r>
      <w:r>
        <w:rPr>
          <w:rFonts w:ascii="Calibri" w:hAnsi="Calibri" w:eastAsia="宋体" w:cs="宋体"/>
          <w:kern w:val="0"/>
          <w:sz w:val="24"/>
          <w:szCs w:val="24"/>
        </w:rPr>
        <w:t>3</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点规定提交投标保证金。</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除招标文件另有规定外，未按照上述规定提交投标保证金将导致资格审查不合格。</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（4）退还</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在投标截止时间前撤回已提交的投标文件的投标人，其投标保证金将在</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收到投标人书面撤回通知之日起5个工作日内退回原账户。</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未中标人的投标保证金将在中标通知书发出之日起</w:t>
      </w:r>
      <w:r>
        <w:rPr>
          <w:rFonts w:ascii="Calibri" w:hAnsi="Calibri" w:eastAsia="宋体" w:cs="宋体"/>
          <w:kern w:val="0"/>
          <w:sz w:val="24"/>
          <w:szCs w:val="24"/>
        </w:rPr>
        <w:t>5</w:t>
      </w:r>
      <w:r>
        <w:rPr>
          <w:rFonts w:ascii="宋体" w:hAnsi="宋体" w:eastAsia="宋体" w:cs="宋体"/>
          <w:kern w:val="0"/>
          <w:sz w:val="24"/>
          <w:szCs w:val="24"/>
        </w:rPr>
        <w:t>个工作日内退回原账户。</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中标人的投标保证金将在政府采购合同签订之日起</w:t>
      </w:r>
      <w:r>
        <w:rPr>
          <w:rFonts w:ascii="Calibri" w:hAnsi="Calibri" w:eastAsia="宋体" w:cs="宋体"/>
          <w:kern w:val="0"/>
          <w:sz w:val="24"/>
          <w:szCs w:val="24"/>
        </w:rPr>
        <w:t>5</w:t>
      </w:r>
      <w:r>
        <w:rPr>
          <w:rFonts w:ascii="宋体" w:hAnsi="宋体" w:eastAsia="宋体" w:cs="宋体"/>
          <w:kern w:val="0"/>
          <w:sz w:val="24"/>
          <w:szCs w:val="24"/>
        </w:rPr>
        <w:t>个工作日内退回原账户；合同签订之日按照下列方式认定：</w:t>
      </w:r>
      <w:r>
        <w:rPr>
          <w:rFonts w:ascii="宋体" w:hAnsi="宋体" w:eastAsia="宋体" w:cs="宋体"/>
          <w:b/>
          <w:bCs/>
          <w:kern w:val="0"/>
          <w:sz w:val="24"/>
          <w:szCs w:val="24"/>
        </w:rPr>
        <w:t>以福建省政府采购网上公开信息系统记载的为准。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终止招标的，</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将在终止公告发布之日起5个工作日内退回已收取的投标保证金及其在银行产生的孳息。</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除招标文件另有规定外，质疑或投诉涉及的投标人，若投标保证金尚未退还，则待质疑或投诉处理完毕后不计利息原额退还。</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本章第</w:t>
      </w:r>
      <w:r>
        <w:rPr>
          <w:rFonts w:ascii="Calibri" w:hAnsi="Calibri" w:eastAsia="宋体" w:cs="宋体"/>
          <w:b/>
          <w:bCs/>
          <w:kern w:val="0"/>
          <w:sz w:val="24"/>
          <w:szCs w:val="24"/>
        </w:rPr>
        <w:t>10.9</w:t>
      </w:r>
      <w:r>
        <w:rPr>
          <w:rFonts w:ascii="宋体" w:hAnsi="宋体" w:eastAsia="宋体" w:cs="宋体"/>
          <w:b/>
          <w:bCs/>
          <w:kern w:val="0"/>
          <w:sz w:val="24"/>
          <w:szCs w:val="24"/>
        </w:rPr>
        <w:t>条第（</w:t>
      </w:r>
      <w:r>
        <w:rPr>
          <w:rFonts w:ascii="Calibri" w:hAnsi="Calibri" w:eastAsia="宋体" w:cs="宋体"/>
          <w:b/>
          <w:bCs/>
          <w:kern w:val="0"/>
          <w:sz w:val="24"/>
          <w:szCs w:val="24"/>
        </w:rPr>
        <w:t>4</w:t>
      </w:r>
      <w:r>
        <w:rPr>
          <w:rFonts w:ascii="宋体" w:hAnsi="宋体" w:eastAsia="宋体" w:cs="宋体"/>
          <w:b/>
          <w:bCs/>
          <w:kern w:val="0"/>
          <w:sz w:val="24"/>
          <w:szCs w:val="24"/>
        </w:rPr>
        <w:t>）款第</w:t>
      </w:r>
      <w:r>
        <w:rPr>
          <w:rFonts w:hint="eastAsia" w:ascii="宋体" w:hAnsi="宋体" w:eastAsia="宋体" w:cs="宋体"/>
          <w:b/>
          <w:bCs/>
          <w:kern w:val="0"/>
          <w:sz w:val="24"/>
          <w:szCs w:val="24"/>
        </w:rPr>
        <w:t>①</w:t>
      </w:r>
      <w:r>
        <w:rPr>
          <w:rFonts w:ascii="宋体" w:hAnsi="宋体" w:eastAsia="宋体" w:cs="宋体"/>
          <w:b/>
          <w:bCs/>
          <w:kern w:val="0"/>
          <w:sz w:val="24"/>
          <w:szCs w:val="24"/>
        </w:rPr>
        <w:t>、</w:t>
      </w:r>
      <w:r>
        <w:rPr>
          <w:rFonts w:hint="eastAsia" w:ascii="宋体" w:hAnsi="宋体" w:eastAsia="宋体" w:cs="宋体"/>
          <w:b/>
          <w:bCs/>
          <w:kern w:val="0"/>
          <w:sz w:val="24"/>
          <w:szCs w:val="24"/>
        </w:rPr>
        <w:t>②</w:t>
      </w:r>
      <w:r>
        <w:rPr>
          <w:rFonts w:ascii="宋体" w:hAnsi="宋体" w:eastAsia="宋体" w:cs="宋体"/>
          <w:b/>
          <w:bCs/>
          <w:kern w:val="0"/>
          <w:sz w:val="24"/>
          <w:szCs w:val="24"/>
        </w:rPr>
        <w:t>、</w:t>
      </w:r>
      <w:r>
        <w:rPr>
          <w:rFonts w:hint="eastAsia" w:ascii="宋体" w:hAnsi="宋体" w:eastAsia="宋体" w:cs="宋体"/>
          <w:b/>
          <w:bCs/>
          <w:kern w:val="0"/>
          <w:sz w:val="24"/>
          <w:szCs w:val="24"/>
        </w:rPr>
        <w:t>③</w:t>
      </w:r>
      <w:r>
        <w:rPr>
          <w:rFonts w:ascii="宋体" w:hAnsi="宋体" w:eastAsia="宋体" w:cs="宋体"/>
          <w:b/>
          <w:bCs/>
          <w:kern w:val="0"/>
          <w:sz w:val="24"/>
          <w:szCs w:val="24"/>
        </w:rPr>
        <w:t>点规定的投标保证金退还时限不包括因投标人自身原因导致无法及时退还而增加的时间。</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（5）若出现本章第</w:t>
      </w:r>
      <w:r>
        <w:rPr>
          <w:rFonts w:ascii="Calibri" w:hAnsi="Calibri" w:eastAsia="宋体" w:cs="宋体"/>
          <w:kern w:val="0"/>
          <w:sz w:val="24"/>
          <w:szCs w:val="24"/>
        </w:rPr>
        <w:t>10.8</w:t>
      </w:r>
      <w:r>
        <w:rPr>
          <w:rFonts w:ascii="宋体" w:hAnsi="宋体" w:eastAsia="宋体" w:cs="宋体"/>
          <w:kern w:val="0"/>
          <w:sz w:val="24"/>
          <w:szCs w:val="24"/>
        </w:rPr>
        <w:t>条第（</w:t>
      </w:r>
      <w:r>
        <w:rPr>
          <w:rFonts w:ascii="Calibri" w:hAnsi="Calibri" w:eastAsia="宋体" w:cs="宋体"/>
          <w:kern w:val="0"/>
          <w:sz w:val="24"/>
          <w:szCs w:val="24"/>
        </w:rPr>
        <w:t>3</w:t>
      </w:r>
      <w:r>
        <w:rPr>
          <w:rFonts w:ascii="宋体" w:hAnsi="宋体" w:eastAsia="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（6）有下列情形之一的，投标保证金将不予退还：</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投标人串通投标；</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投标人提供虚假材料；</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投标人采取不正当手段诋毁、排挤其他投标人；</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投标截止时间后，投标人在投标有效期内撤销投标文件；</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投标人不接受评标委员会按照招标文件规定对投标报价错误之处进行修正；</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投标人违反招标文件第三章第</w:t>
      </w:r>
      <w:r>
        <w:rPr>
          <w:rFonts w:ascii="Calibri" w:hAnsi="Calibri" w:eastAsia="宋体" w:cs="宋体"/>
          <w:kern w:val="0"/>
          <w:sz w:val="24"/>
          <w:szCs w:val="24"/>
        </w:rPr>
        <w:t>9.4</w:t>
      </w:r>
      <w:r>
        <w:rPr>
          <w:rFonts w:ascii="宋体" w:hAnsi="宋体" w:eastAsia="宋体" w:cs="宋体"/>
          <w:kern w:val="0"/>
          <w:sz w:val="24"/>
          <w:szCs w:val="24"/>
        </w:rPr>
        <w:t>、</w:t>
      </w:r>
      <w:r>
        <w:rPr>
          <w:rFonts w:ascii="Calibri" w:hAnsi="Calibri" w:eastAsia="宋体" w:cs="宋体"/>
          <w:kern w:val="0"/>
          <w:sz w:val="24"/>
          <w:szCs w:val="24"/>
        </w:rPr>
        <w:t>9.5</w:t>
      </w:r>
      <w:r>
        <w:rPr>
          <w:rFonts w:ascii="宋体" w:hAnsi="宋体" w:eastAsia="宋体" w:cs="宋体"/>
          <w:kern w:val="0"/>
          <w:sz w:val="24"/>
          <w:szCs w:val="24"/>
        </w:rPr>
        <w:t>、</w:t>
      </w:r>
      <w:r>
        <w:rPr>
          <w:rFonts w:ascii="Calibri" w:hAnsi="Calibri" w:eastAsia="宋体" w:cs="宋体"/>
          <w:kern w:val="0"/>
          <w:sz w:val="24"/>
          <w:szCs w:val="24"/>
        </w:rPr>
        <w:t>9.6</w:t>
      </w:r>
      <w:r>
        <w:rPr>
          <w:rFonts w:ascii="宋体" w:hAnsi="宋体" w:eastAsia="宋体" w:cs="宋体"/>
          <w:kern w:val="0"/>
          <w:sz w:val="24"/>
          <w:szCs w:val="24"/>
        </w:rPr>
        <w:t>条规定之一；</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⑦</w:t>
      </w:r>
      <w:r>
        <w:rPr>
          <w:rFonts w:ascii="宋体" w:hAnsi="宋体" w:eastAsia="宋体" w:cs="宋体"/>
          <w:kern w:val="0"/>
          <w:sz w:val="24"/>
          <w:szCs w:val="24"/>
        </w:rPr>
        <w:t>招标文件规定的其他不予退还情形；</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⑧</w:t>
      </w:r>
      <w:r>
        <w:rPr>
          <w:rFonts w:ascii="宋体" w:hAnsi="宋体" w:eastAsia="宋体" w:cs="宋体"/>
          <w:kern w:val="0"/>
          <w:sz w:val="24"/>
          <w:szCs w:val="24"/>
        </w:rPr>
        <w:t>中标人有下列情形之一的：</w:t>
      </w:r>
    </w:p>
    <w:p>
      <w:pPr>
        <w:widowControl/>
        <w:spacing w:before="75" w:after="75" w:line="360" w:lineRule="auto"/>
        <w:ind w:firstLine="480"/>
        <w:jc w:val="left"/>
        <w:rPr>
          <w:rFonts w:ascii="宋体" w:hAnsi="宋体" w:eastAsia="宋体" w:cs="宋体"/>
          <w:kern w:val="0"/>
          <w:sz w:val="24"/>
          <w:szCs w:val="24"/>
        </w:rPr>
      </w:pPr>
      <w:r>
        <w:rPr>
          <w:rFonts w:ascii="Calibri" w:hAnsi="Calibri" w:eastAsia="宋体" w:cs="宋体"/>
          <w:kern w:val="0"/>
          <w:sz w:val="24"/>
          <w:szCs w:val="24"/>
        </w:rPr>
        <w:t>a</w:t>
      </w:r>
      <w:r>
        <w:rPr>
          <w:rFonts w:ascii="宋体" w:hAnsi="宋体" w:eastAsia="宋体" w:cs="宋体"/>
          <w:kern w:val="0"/>
          <w:sz w:val="24"/>
          <w:szCs w:val="24"/>
        </w:rPr>
        <w:t>.除不可抗力外，因中标人自身原因未在中标通知书要求的期限内与采购人签订政府采购合同；</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b.未按照招标文件、投标文件的约定签订政府采购合同或提交履约保证金。</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若上述投标保证金不予退还情形给采购人（采购代理机构）造成损失，则投标人还要承担相应的赔偿责任。</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10.10投标文件的提交</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（1）一个投标人只能提交一个投标文件，并按照招标文件第一章规定将其送达。</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（2）密封及其标记的具体形式：详见招标文件第二章。</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10.11投标文件的补充、修改或撤回</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（1）投标截止时间前，投标人可对所提交的投标文件进行补充、修改或撤回，并书面通知</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（2）补充、修改的内容应按照本章第</w:t>
      </w:r>
      <w:r>
        <w:rPr>
          <w:rFonts w:ascii="Calibri" w:hAnsi="Calibri" w:eastAsia="宋体" w:cs="宋体"/>
          <w:kern w:val="0"/>
          <w:sz w:val="24"/>
          <w:szCs w:val="24"/>
        </w:rPr>
        <w:t>10.5</w:t>
      </w:r>
      <w:r>
        <w:rPr>
          <w:rFonts w:ascii="宋体" w:hAnsi="宋体" w:eastAsia="宋体" w:cs="宋体"/>
          <w:kern w:val="0"/>
          <w:sz w:val="24"/>
          <w:szCs w:val="24"/>
        </w:rPr>
        <w:t>条第（</w:t>
      </w:r>
      <w:r>
        <w:rPr>
          <w:rFonts w:ascii="Calibri" w:hAnsi="Calibri" w:eastAsia="宋体" w:cs="宋体"/>
          <w:kern w:val="0"/>
          <w:sz w:val="24"/>
          <w:szCs w:val="24"/>
        </w:rPr>
        <w:t>4</w:t>
      </w:r>
      <w:r>
        <w:rPr>
          <w:rFonts w:ascii="宋体" w:hAnsi="宋体" w:eastAsia="宋体" w:cs="宋体"/>
          <w:kern w:val="0"/>
          <w:sz w:val="24"/>
          <w:szCs w:val="24"/>
        </w:rPr>
        <w:t>）款规定进行签署、盖章，并按照本章第</w:t>
      </w:r>
      <w:r>
        <w:rPr>
          <w:rFonts w:ascii="Calibri" w:hAnsi="Calibri" w:eastAsia="宋体" w:cs="宋体"/>
          <w:kern w:val="0"/>
          <w:sz w:val="24"/>
          <w:szCs w:val="24"/>
        </w:rPr>
        <w:t>10.10</w:t>
      </w:r>
      <w:r>
        <w:rPr>
          <w:rFonts w:ascii="宋体" w:hAnsi="宋体" w:eastAsia="宋体" w:cs="宋体"/>
          <w:kern w:val="0"/>
          <w:sz w:val="24"/>
          <w:szCs w:val="24"/>
        </w:rPr>
        <w:t>条规定提交，</w:t>
      </w:r>
      <w:r>
        <w:rPr>
          <w:rFonts w:ascii="宋体" w:hAnsi="宋体" w:eastAsia="宋体" w:cs="宋体"/>
          <w:b/>
          <w:bCs/>
          <w:kern w:val="0"/>
          <w:sz w:val="24"/>
          <w:szCs w:val="24"/>
        </w:rPr>
        <w:t>否则将被拒收。</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按照上述规定提交的补充、修改内容作为投标文件组成部分。</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10.12除招标文件另有规定外，有下列情形之一的，</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（1）投标文件未按照招标文件要求签署、盖章；</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（2）不符合招标文件中规定的资格要求；</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（3）投标报价超过招标文件中规定的预算金额或最高限价；</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（4）投标文件含有采购人不能接受的附加条件；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（5）有关法律、法规和规章及招标文件规定的其他无效情形。</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五、开标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11、开标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11.1</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将在招标文件载明的开标时间及地点主持召开开标会，并邀请投标人参加。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11.2开标会的主持人、唱标人、记录人及其他工作人员（若有）均由</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派出，现场监督人员（若有）可由有关方面派出。</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11.3参加开标会的投标人应签到，非投标人不参加开标会。</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11.4开标会应遵守下列规定：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（1）首先由主持人宣布开标会须知，然后由投标人代表对投标文件的密封情况进行检查，经确认无误后，由工作人员对密封的投标文件当众拆封。</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（3）记录人对唱标人宣布的内容作开标记录。</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（6）若投标人未参加开标会（包括但不限于投标人派出的人员不是投标人代表），视同其对开标过程和开标记录予以认可。</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若出现本章第</w:t>
      </w:r>
      <w:r>
        <w:rPr>
          <w:rFonts w:ascii="Calibri" w:hAnsi="Calibri" w:eastAsia="宋体" w:cs="宋体"/>
          <w:b/>
          <w:bCs/>
          <w:kern w:val="0"/>
          <w:sz w:val="24"/>
          <w:szCs w:val="24"/>
        </w:rPr>
        <w:t>11.4</w:t>
      </w:r>
      <w:r>
        <w:rPr>
          <w:rFonts w:ascii="宋体" w:hAnsi="宋体" w:eastAsia="宋体" w:cs="宋体"/>
          <w:b/>
          <w:bCs/>
          <w:kern w:val="0"/>
          <w:sz w:val="24"/>
          <w:szCs w:val="24"/>
        </w:rPr>
        <w:t>条第（</w:t>
      </w:r>
      <w:r>
        <w:rPr>
          <w:rFonts w:ascii="Calibri" w:hAnsi="Calibri" w:eastAsia="宋体" w:cs="宋体"/>
          <w:b/>
          <w:bCs/>
          <w:kern w:val="0"/>
          <w:sz w:val="24"/>
          <w:szCs w:val="24"/>
        </w:rPr>
        <w:t>4</w:t>
      </w:r>
      <w:r>
        <w:rPr>
          <w:rFonts w:ascii="宋体" w:hAnsi="宋体" w:eastAsia="宋体" w:cs="宋体"/>
          <w:b/>
          <w:bCs/>
          <w:kern w:val="0"/>
          <w:sz w:val="24"/>
          <w:szCs w:val="24"/>
        </w:rPr>
        <w:t>）、（</w:t>
      </w:r>
      <w:r>
        <w:rPr>
          <w:rFonts w:ascii="Calibri" w:hAnsi="Calibri" w:eastAsia="宋体" w:cs="宋体"/>
          <w:b/>
          <w:bCs/>
          <w:kern w:val="0"/>
          <w:sz w:val="24"/>
          <w:szCs w:val="24"/>
        </w:rPr>
        <w:t>5</w:t>
      </w:r>
      <w:r>
        <w:rPr>
          <w:rFonts w:ascii="宋体" w:hAnsi="宋体" w:eastAsia="宋体" w:cs="宋体"/>
          <w:b/>
          <w:bCs/>
          <w:kern w:val="0"/>
          <w:sz w:val="24"/>
          <w:szCs w:val="24"/>
        </w:rPr>
        <w:t>）、（</w:t>
      </w:r>
      <w:r>
        <w:rPr>
          <w:rFonts w:ascii="Calibri" w:hAnsi="Calibri" w:eastAsia="宋体" w:cs="宋体"/>
          <w:b/>
          <w:bCs/>
          <w:kern w:val="0"/>
          <w:sz w:val="24"/>
          <w:szCs w:val="24"/>
        </w:rPr>
        <w:t>6</w:t>
      </w:r>
      <w:r>
        <w:rPr>
          <w:rFonts w:ascii="宋体" w:hAnsi="宋体" w:eastAsia="宋体" w:cs="宋体"/>
          <w:b/>
          <w:bCs/>
          <w:kern w:val="0"/>
          <w:sz w:val="24"/>
          <w:szCs w:val="24"/>
        </w:rPr>
        <w:t>）款规定情形之一</w:t>
      </w:r>
      <w:r>
        <w:rPr>
          <w:rFonts w:ascii="宋体" w:hAnsi="宋体" w:eastAsia="宋体" w:cs="宋体"/>
          <w:kern w:val="0"/>
          <w:sz w:val="24"/>
          <w:szCs w:val="24"/>
        </w:rPr>
        <w:t>，</w:t>
      </w:r>
      <w:r>
        <w:rPr>
          <w:rFonts w:ascii="宋体" w:hAnsi="宋体" w:eastAsia="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kern w:val="0"/>
          <w:sz w:val="24"/>
          <w:szCs w:val="24"/>
          <w:u w:val="single"/>
        </w:rPr>
        <w:t>福建优胜招标代理有限公司</w:t>
      </w:r>
      <w:r>
        <w:rPr>
          <w:rFonts w:ascii="宋体" w:hAnsi="宋体" w:eastAsia="宋体" w:cs="宋体"/>
          <w:b/>
          <w:bCs/>
          <w:kern w:val="0"/>
          <w:sz w:val="24"/>
          <w:szCs w:val="24"/>
        </w:rPr>
        <w:t>提出任何疑义或要求（包括质疑）。</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11.5投标截止时间后，参加投标的投标人不足三家的，不进行开标。同时，本次采购活动结束，</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将依法组织后续采购活动（包括但不限于：重新招标、采用其他方式采购等）。</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六、中标与政府采购合同</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12、中标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12.1本项目推荐的中标候选人家数：详见招标文件第二章。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12.2本项目中标人的确定：详见招标文件第二章。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12.3中标公告</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（1）中标人确定之日起</w:t>
      </w:r>
      <w:r>
        <w:rPr>
          <w:rFonts w:ascii="Calibri" w:hAnsi="Calibri" w:eastAsia="宋体" w:cs="宋体"/>
          <w:kern w:val="0"/>
          <w:sz w:val="24"/>
          <w:szCs w:val="24"/>
        </w:rPr>
        <w:t>2</w:t>
      </w:r>
      <w:r>
        <w:rPr>
          <w:rFonts w:ascii="宋体" w:hAnsi="宋体" w:eastAsia="宋体" w:cs="宋体"/>
          <w:kern w:val="0"/>
          <w:sz w:val="24"/>
          <w:szCs w:val="24"/>
        </w:rPr>
        <w:t>个工作日内，</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将在招标文件载明的指定媒体以中标公告的形式发布中标结果。</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（2）中标公告的公告期限为</w:t>
      </w:r>
      <w:r>
        <w:rPr>
          <w:rFonts w:ascii="Calibri" w:hAnsi="Calibri" w:eastAsia="宋体" w:cs="宋体"/>
          <w:kern w:val="0"/>
          <w:sz w:val="24"/>
          <w:szCs w:val="24"/>
        </w:rPr>
        <w:t>1</w:t>
      </w:r>
      <w:r>
        <w:rPr>
          <w:rFonts w:ascii="宋体" w:hAnsi="宋体" w:eastAsia="宋体" w:cs="宋体"/>
          <w:kern w:val="0"/>
          <w:sz w:val="24"/>
          <w:szCs w:val="24"/>
        </w:rPr>
        <w:t>个工作日。</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（3）中标公告同时作为</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通知除中标人外的其他投标人没有中标的书面形式。</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12.4中标通知书</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（1）中标公告发布的同时，</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将向中标人发出中标通知书。</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（2）中标通知书发出后，采购人不得违法改变中标结果，中标人无正当理由不得放弃中标。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13、政府采购合同</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13.2签订时限：自中标通知书发出之日起</w:t>
      </w:r>
      <w:r>
        <w:rPr>
          <w:rFonts w:ascii="Calibri" w:hAnsi="Calibri" w:eastAsia="宋体" w:cs="宋体"/>
          <w:kern w:val="0"/>
          <w:sz w:val="24"/>
          <w:szCs w:val="24"/>
        </w:rPr>
        <w:t>30</w:t>
      </w:r>
      <w:r>
        <w:rPr>
          <w:rFonts w:ascii="宋体" w:hAnsi="宋体" w:eastAsia="宋体" w:cs="宋体"/>
          <w:kern w:val="0"/>
          <w:sz w:val="24"/>
          <w:szCs w:val="24"/>
        </w:rPr>
        <w:t>个日历日内。</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13.3政府采购合同的履行、违约责任和解决争议的方法等适用合同法。</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13.4采购人与中标人应根据政府采购合同的约定依法履行合同义务。</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13.5政府采购合同履行过程中，采购人若需追加与合同标的相同的货物或服务，则追加采购金额不得超过原合同采购金额的</w:t>
      </w:r>
      <w:r>
        <w:rPr>
          <w:rFonts w:ascii="Calibri" w:hAnsi="Calibri" w:eastAsia="宋体" w:cs="宋体"/>
          <w:kern w:val="0"/>
          <w:sz w:val="24"/>
          <w:szCs w:val="24"/>
        </w:rPr>
        <w:t>10%</w:t>
      </w:r>
      <w:r>
        <w:rPr>
          <w:rFonts w:ascii="宋体" w:hAnsi="宋体" w:eastAsia="宋体" w:cs="宋体"/>
          <w:kern w:val="0"/>
          <w:sz w:val="24"/>
          <w:szCs w:val="24"/>
        </w:rPr>
        <w:t>。</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13.6中标人在政府采购合同履行过程中应遵守有关法律、法规和规章的强制性规定（即使前述强制性规定有可能在招标文件中未予列明）。</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七、询问、质疑与投诉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14、询问</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14.1潜在投标人或投标人对本次采购活动的有关事项若有疑问，可向福建优胜招标代理有限公司提出询问，福建优胜招标代理有限公司将按照政府采购法及实施条例的有关规定进行答复。</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15、质疑</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15.1针对同一采购程序环节的质疑应在政府采购法及实施条例规定的时限内一次性提出，并同时符合下列条件：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（2）质疑人应按照招标文件第二章规定方式提交质疑函。</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（3）质疑函应包括下列主要内容：</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质疑人的基本信息，至少包括：全称、地址、邮政编码等；</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所质疑项目的基本信息，至少包括：招标编号、项目名称等；</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针对质疑事项提出的明确请求，前述明确请求指质疑人提出质疑的目的以及希望福建优胜招标代理有限公司对其质疑作出的处理结果，如：暂停招标投标活动、修改招标文件、停止或纠正违法违规行为、中标结果无效、废标、重新招标等；</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针对质疑事项导致质疑人自身权益受到损害的必要证明材料，至少包括：</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a.质疑人代表的身份证明材料：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a2若本项目接受自然人投标且质疑人为自然人的，提供本人的身份证复印件。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b.其他证明材料（即事实依据和必要的法律依据）包括但不限于下列材料：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b1所质疑的具体事项是与自已有利害关系的证明材料；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b2质疑函所述事实存在的证明材料，如：采购文件、采购过程或中标结果违法违规或不符合采购文件要求等证明材料；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b3依法应终止采购程序的证明材料；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b4应重新采购的证明材料；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b5采购文件、采购过程或中标、成交结果损害自已合法权益的证明材料等；</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kern w:val="0"/>
          <w:sz w:val="24"/>
          <w:szCs w:val="24"/>
        </w:rPr>
        <w:t>视为无效</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质疑人代表及其联系方法的信息，至少包括：姓名、手机、电子信箱、邮寄地址等。</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⑦</w:t>
      </w:r>
      <w:r>
        <w:rPr>
          <w:rFonts w:ascii="宋体" w:hAnsi="宋体" w:eastAsia="宋体" w:cs="宋体"/>
          <w:kern w:val="0"/>
          <w:sz w:val="24"/>
          <w:szCs w:val="24"/>
        </w:rPr>
        <w:t>提出质疑的日期。</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质疑人为法人或其他组织的，质疑函应由单位负责人或委托代理人签字或盖章，并加盖投标人的单位公章。质疑人为自然人的，质疑函应由本人签字。</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15.2对不符合本章第</w:t>
      </w:r>
      <w:r>
        <w:rPr>
          <w:rFonts w:ascii="Calibri" w:hAnsi="Calibri" w:eastAsia="宋体" w:cs="宋体"/>
          <w:kern w:val="0"/>
          <w:sz w:val="24"/>
          <w:szCs w:val="24"/>
        </w:rPr>
        <w:t>15.1</w:t>
      </w:r>
      <w:r>
        <w:rPr>
          <w:rFonts w:ascii="宋体" w:hAnsi="宋体" w:eastAsia="宋体" w:cs="宋体"/>
          <w:kern w:val="0"/>
          <w:sz w:val="24"/>
          <w:szCs w:val="24"/>
        </w:rPr>
        <w:t>条规定的质疑，将按照下列规定进行处理：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（1）不符合其中第（</w:t>
      </w:r>
      <w:r>
        <w:rPr>
          <w:rFonts w:ascii="Calibri" w:hAnsi="Calibri" w:eastAsia="宋体" w:cs="宋体"/>
          <w:kern w:val="0"/>
          <w:sz w:val="24"/>
          <w:szCs w:val="24"/>
        </w:rPr>
        <w:t>1</w:t>
      </w:r>
      <w:r>
        <w:rPr>
          <w:rFonts w:ascii="宋体" w:hAnsi="宋体" w:eastAsia="宋体" w:cs="宋体"/>
          <w:kern w:val="0"/>
          <w:sz w:val="24"/>
          <w:szCs w:val="24"/>
        </w:rPr>
        <w:t>）、（</w:t>
      </w:r>
      <w:r>
        <w:rPr>
          <w:rFonts w:ascii="Calibri" w:hAnsi="Calibri" w:eastAsia="宋体" w:cs="宋体"/>
          <w:kern w:val="0"/>
          <w:sz w:val="24"/>
          <w:szCs w:val="24"/>
        </w:rPr>
        <w:t>2</w:t>
      </w:r>
      <w:r>
        <w:rPr>
          <w:rFonts w:ascii="宋体" w:hAnsi="宋体" w:eastAsia="宋体" w:cs="宋体"/>
          <w:kern w:val="0"/>
          <w:sz w:val="24"/>
          <w:szCs w:val="24"/>
        </w:rPr>
        <w:t>）条规定的，书面告知质疑人不予受理及其理由。</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（2）不符合其中第（</w:t>
      </w:r>
      <w:r>
        <w:rPr>
          <w:rFonts w:ascii="Calibri" w:hAnsi="Calibri" w:eastAsia="宋体" w:cs="宋体"/>
          <w:kern w:val="0"/>
          <w:sz w:val="24"/>
          <w:szCs w:val="24"/>
        </w:rPr>
        <w:t>3</w:t>
      </w:r>
      <w:r>
        <w:rPr>
          <w:rFonts w:ascii="宋体" w:hAnsi="宋体" w:eastAsia="宋体" w:cs="宋体"/>
          <w:kern w:val="0"/>
          <w:sz w:val="24"/>
          <w:szCs w:val="24"/>
        </w:rPr>
        <w:t>）条规定的，书面告知质疑人修改、补充后在规定时限内重新提交质疑函。</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15.3对符合本章第</w:t>
      </w:r>
      <w:r>
        <w:rPr>
          <w:rFonts w:ascii="Calibri" w:hAnsi="Calibri" w:eastAsia="宋体" w:cs="宋体"/>
          <w:kern w:val="0"/>
          <w:sz w:val="24"/>
          <w:szCs w:val="24"/>
        </w:rPr>
        <w:t>15.1</w:t>
      </w:r>
      <w:r>
        <w:rPr>
          <w:rFonts w:ascii="宋体" w:hAnsi="宋体" w:eastAsia="宋体" w:cs="宋体"/>
          <w:kern w:val="0"/>
          <w:sz w:val="24"/>
          <w:szCs w:val="24"/>
        </w:rPr>
        <w:t>条规定的质疑，将按照政府采购法及实施条例、政府采购质疑和投诉办法的有关规定进行答复。</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15.4招标文件的质疑：详见招标文件第二章。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16、投诉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16.1若对质疑答复不满意或质疑答复未在答复期限内作出，质疑人可在答复期限届满之日起</w:t>
      </w:r>
      <w:r>
        <w:rPr>
          <w:rFonts w:ascii="Calibri" w:hAnsi="Calibri" w:eastAsia="宋体" w:cs="宋体"/>
          <w:kern w:val="0"/>
          <w:sz w:val="24"/>
          <w:szCs w:val="24"/>
        </w:rPr>
        <w:t>15</w:t>
      </w:r>
      <w:r>
        <w:rPr>
          <w:rFonts w:ascii="宋体" w:hAnsi="宋体" w:eastAsia="宋体" w:cs="宋体"/>
          <w:kern w:val="0"/>
          <w:sz w:val="24"/>
          <w:szCs w:val="24"/>
        </w:rPr>
        <w:t>个工作日内按照政府采购质疑和投诉办法的有关规定向招标文件第二章载明的本项目监督管理部门提起投诉。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16.2投诉应有明确的请求和必要的证明材料，投诉的事项不得超出已质疑事项的范围。</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八、政府采购政策</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17、政府采购政策由财政部根据国家的经济和社会发展政策并会同国家有关部委制定，包括但不限于下列具体政策要求：</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17.1进口产品指通过中国海关报关验放进入中国境内且产自关境外的产品，其中：</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（2）凡在海关特殊监管区域内企业生产或加工（包括从境外进口料件）销往境内其他地区的产品，不作为政府采购项下进口产品。</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（3）对从境外进入海关特殊监管区域，再经办理报关手续后从海关特殊监管区进入境内其他地区的产品，认定为进口产品。</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（4）招标文件列明不允许或未列明允许进口产品参加投标的，均视为拒绝进口产品参加投标。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（3）对于同时列入节能清单和环保清单的产品，优先于只列入其中一个清单的产品。</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ascii="宋体" w:hAnsi="宋体" w:eastAsia="宋体" w:cs="宋体"/>
          <w:kern w:val="0"/>
          <w:sz w:val="24"/>
          <w:szCs w:val="24"/>
        </w:rPr>
        <w:br w:type="textWrapping"/>
      </w:r>
      <w:r>
        <w:rPr>
          <w:rFonts w:ascii="宋体" w:hAnsi="宋体" w:eastAsia="宋体" w:cs="宋体"/>
          <w:kern w:val="0"/>
          <w:sz w:val="24"/>
          <w:szCs w:val="24"/>
        </w:rPr>
        <w:t>   （5）未在节能清单、环保清单内的产品应提交国家确定的认证机构出具的、处于有效期之内的节能产品、环境标志产品认证证书。</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17.4符合财政部、工信部文件（财库</w:t>
      </w:r>
      <w:r>
        <w:rPr>
          <w:rFonts w:ascii="Calibri" w:hAnsi="Calibri" w:eastAsia="宋体" w:cs="宋体"/>
          <w:kern w:val="0"/>
          <w:sz w:val="24"/>
          <w:szCs w:val="24"/>
        </w:rPr>
        <w:t>[2011]181</w:t>
      </w:r>
      <w:r>
        <w:rPr>
          <w:rFonts w:ascii="宋体" w:hAnsi="宋体" w:eastAsia="宋体" w:cs="宋体"/>
          <w:kern w:val="0"/>
          <w:sz w:val="24"/>
          <w:szCs w:val="24"/>
        </w:rPr>
        <w:t>号）规定的</w:t>
      </w:r>
      <w:r>
        <w:rPr>
          <w:rFonts w:ascii="宋体" w:hAnsi="宋体" w:eastAsia="宋体" w:cs="宋体"/>
          <w:b/>
          <w:bCs/>
          <w:kern w:val="0"/>
          <w:sz w:val="24"/>
          <w:szCs w:val="24"/>
        </w:rPr>
        <w:t>小型、微型企业</w:t>
      </w:r>
      <w:r>
        <w:rPr>
          <w:rFonts w:ascii="宋体" w:hAnsi="宋体" w:eastAsia="宋体" w:cs="宋体"/>
          <w:kern w:val="0"/>
          <w:sz w:val="24"/>
          <w:szCs w:val="24"/>
        </w:rPr>
        <w:t>可享受扶持政策（如：预留份额、评审中价格扣除等）。符合财政部、司法部文件（财库[2014]68号）规定的监狱企业（以下简称：</w:t>
      </w:r>
      <w:r>
        <w:rPr>
          <w:rFonts w:ascii="宋体" w:hAnsi="宋体" w:eastAsia="宋体" w:cs="宋体"/>
          <w:b/>
          <w:bCs/>
          <w:kern w:val="0"/>
          <w:sz w:val="24"/>
          <w:szCs w:val="24"/>
        </w:rPr>
        <w:t>“监狱企业”</w:t>
      </w:r>
      <w:r>
        <w:rPr>
          <w:rFonts w:ascii="宋体" w:hAnsi="宋体" w:eastAsia="宋体" w:cs="宋体"/>
          <w:kern w:val="0"/>
          <w:sz w:val="24"/>
          <w:szCs w:val="24"/>
        </w:rPr>
        <w:t>）亦可享受前述扶持政策。符合财政部、民政部、中国残联文件（财库[2017]141号）规定的残疾人福利性单位（以下简称：</w:t>
      </w:r>
      <w:r>
        <w:rPr>
          <w:rFonts w:ascii="宋体" w:hAnsi="宋体" w:eastAsia="宋体" w:cs="宋体"/>
          <w:b/>
          <w:bCs/>
          <w:kern w:val="0"/>
          <w:sz w:val="24"/>
          <w:szCs w:val="24"/>
        </w:rPr>
        <w:t>“残疾人福利性单位”</w:t>
      </w:r>
      <w:r>
        <w:rPr>
          <w:rFonts w:ascii="宋体" w:hAnsi="宋体" w:eastAsia="宋体" w:cs="宋体"/>
          <w:kern w:val="0"/>
          <w:sz w:val="24"/>
          <w:szCs w:val="24"/>
        </w:rPr>
        <w:t>）亦可享受前述扶持政策。其中：</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（1）中小企业指同时符合下列条件的中型、小型、微型企业：</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符合《工业和信息化部、国家统计局、国家发展和改革委员会、财政部关于印发中小企业划型标准规定的通知》（工信部联企业</w:t>
      </w:r>
      <w:r>
        <w:rPr>
          <w:rFonts w:ascii="Calibri" w:hAnsi="Calibri" w:eastAsia="宋体" w:cs="宋体"/>
          <w:kern w:val="0"/>
          <w:sz w:val="24"/>
          <w:szCs w:val="24"/>
        </w:rPr>
        <w:t>[2011]300</w:t>
      </w:r>
      <w:r>
        <w:rPr>
          <w:rFonts w:ascii="宋体" w:hAnsi="宋体" w:eastAsia="宋体" w:cs="宋体"/>
          <w:kern w:val="0"/>
          <w:sz w:val="24"/>
          <w:szCs w:val="24"/>
        </w:rPr>
        <w:t>号）规定的划分标准；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监狱企业参加采购活动时，应提供由省级以上监狱管理局、戒毒管理局（含新疆生产建设兵团）出具的属于监狱企业的证明文件。</w:t>
      </w:r>
    </w:p>
    <w:p>
      <w:pPr>
        <w:widowControl/>
        <w:spacing w:before="75" w:after="240"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监狱企业视同小型、微型企业。</w:t>
      </w:r>
      <w:r>
        <w:rPr>
          <w:rFonts w:ascii="宋体" w:hAnsi="宋体" w:eastAsia="宋体" w:cs="宋体"/>
          <w:kern w:val="0"/>
          <w:sz w:val="24"/>
          <w:szCs w:val="24"/>
        </w:rPr>
        <w:br w:type="textWrapping"/>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（3）残疾人福利性单位指同时符合下列条件的单位：</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安置的残疾人占本单位在职职工人数的比例不低于</w:t>
      </w:r>
      <w:r>
        <w:rPr>
          <w:rFonts w:ascii="Calibri" w:hAnsi="Calibri" w:eastAsia="宋体" w:cs="宋体"/>
          <w:kern w:val="0"/>
          <w:sz w:val="24"/>
          <w:szCs w:val="24"/>
        </w:rPr>
        <w:t>25%</w:t>
      </w:r>
      <w:r>
        <w:rPr>
          <w:rFonts w:ascii="宋体" w:hAnsi="宋体" w:eastAsia="宋体" w:cs="宋体"/>
          <w:kern w:val="0"/>
          <w:sz w:val="24"/>
          <w:szCs w:val="24"/>
        </w:rPr>
        <w:t>（含</w:t>
      </w:r>
      <w:r>
        <w:rPr>
          <w:rFonts w:ascii="Calibri" w:hAnsi="Calibri" w:eastAsia="宋体" w:cs="宋体"/>
          <w:kern w:val="0"/>
          <w:sz w:val="24"/>
          <w:szCs w:val="24"/>
        </w:rPr>
        <w:t>25%</w:t>
      </w:r>
      <w:r>
        <w:rPr>
          <w:rFonts w:ascii="宋体" w:hAnsi="宋体" w:eastAsia="宋体" w:cs="宋体"/>
          <w:kern w:val="0"/>
          <w:sz w:val="24"/>
          <w:szCs w:val="24"/>
        </w:rPr>
        <w:t>），并且安置的残疾人人数不少于</w:t>
      </w:r>
      <w:r>
        <w:rPr>
          <w:rFonts w:ascii="Calibri" w:hAnsi="Calibri" w:eastAsia="宋体" w:cs="宋体"/>
          <w:kern w:val="0"/>
          <w:sz w:val="24"/>
          <w:szCs w:val="24"/>
        </w:rPr>
        <w:t>10</w:t>
      </w:r>
      <w:r>
        <w:rPr>
          <w:rFonts w:ascii="宋体" w:hAnsi="宋体" w:eastAsia="宋体" w:cs="宋体"/>
          <w:kern w:val="0"/>
          <w:sz w:val="24"/>
          <w:szCs w:val="24"/>
        </w:rPr>
        <w:t>人（含</w:t>
      </w:r>
      <w:r>
        <w:rPr>
          <w:rFonts w:ascii="Calibri" w:hAnsi="Calibri" w:eastAsia="宋体" w:cs="宋体"/>
          <w:kern w:val="0"/>
          <w:sz w:val="24"/>
          <w:szCs w:val="24"/>
        </w:rPr>
        <w:t>10</w:t>
      </w:r>
      <w:r>
        <w:rPr>
          <w:rFonts w:ascii="宋体" w:hAnsi="宋体" w:eastAsia="宋体" w:cs="宋体"/>
          <w:kern w:val="0"/>
          <w:sz w:val="24"/>
          <w:szCs w:val="24"/>
        </w:rPr>
        <w:t>人）；</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依法与安置的每位残疾人签订了一年以上（含一年）的劳动合同或服务协议；</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为安置的每位残疾人按月足额缴纳了基本养老保险、基本医疗保险、失业保险、工伤保险和生育保险等社会保险费；</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通过银行等金融机构向安置的每位残疾人，按月支付了不低于单位所在区县适用的经省级人民政府批准的月最低工资标准的工资；</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提供本单位制造的货物、承担的工程或服务，或提供其他残疾人福利性单位制造的货物（不包括使用非残疾人福利性单位注册商标的货物）。</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前款所称残疾人指法定劳动年龄内，持有《中华人民共和国残疾人证》或《中华人民共和国残疾军人证（1至</w:t>
      </w:r>
      <w:r>
        <w:rPr>
          <w:rFonts w:ascii="Calibri" w:hAnsi="Calibri" w:eastAsia="宋体" w:cs="宋体"/>
          <w:kern w:val="0"/>
          <w:sz w:val="24"/>
          <w:szCs w:val="24"/>
        </w:rPr>
        <w:t>8</w:t>
      </w:r>
      <w:r>
        <w:rPr>
          <w:rFonts w:ascii="宋体" w:hAnsi="宋体" w:eastAsia="宋体" w:cs="宋体"/>
          <w:kern w:val="0"/>
          <w:sz w:val="24"/>
          <w:szCs w:val="24"/>
        </w:rPr>
        <w:t>级）》的自然人，包括具有劳动条件和劳动意愿的精神残疾人。在职职工人数是指与残疾人福利性单位建立劳动关系并依法签订劳动合同或服务协议的雇员人数。</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17.5信用记录指由财政部确定的有关网站提供的相关主体信用信息。信用记录的查询及使用应符合财政部文件（财库</w:t>
      </w:r>
      <w:r>
        <w:rPr>
          <w:rFonts w:ascii="Calibri" w:hAnsi="Calibri" w:eastAsia="宋体" w:cs="宋体"/>
          <w:kern w:val="0"/>
          <w:sz w:val="24"/>
          <w:szCs w:val="24"/>
        </w:rPr>
        <w:t>[2016]125</w:t>
      </w:r>
      <w:r>
        <w:rPr>
          <w:rFonts w:ascii="宋体" w:hAnsi="宋体" w:eastAsia="宋体" w:cs="宋体"/>
          <w:kern w:val="0"/>
          <w:sz w:val="24"/>
          <w:szCs w:val="24"/>
        </w:rPr>
        <w:t>号）规定。</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17.6为落实政府采购政策需满足的要求：详见招标文件第一章。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九、本项目的有关信息</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18.1指定媒体：详见招标文件第二章。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18.2本项目的潜在投标人或投标人应随时关注指定媒体，否则产生不利后果由其自行承担。</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十、其他事项</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19、其他事项：详见招标文件第二章。</w:t>
      </w:r>
    </w:p>
    <w:p>
      <w:pPr>
        <w:widowControl/>
        <w:spacing w:before="75" w:after="75" w:line="360" w:lineRule="auto"/>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jc w:val="center"/>
        <w:rPr>
          <w:rFonts w:hint="eastAsia" w:ascii="宋体" w:hAnsi="宋体" w:eastAsia="宋体" w:cs="宋体"/>
          <w:b/>
          <w:bCs/>
          <w:kern w:val="0"/>
          <w:sz w:val="32"/>
        </w:rPr>
      </w:pPr>
      <w:r>
        <w:rPr>
          <w:rFonts w:hint="eastAsia" w:ascii="宋体" w:hAnsi="宋体" w:eastAsia="宋体" w:cs="宋体"/>
          <w:b/>
          <w:bCs/>
          <w:kern w:val="0"/>
          <w:sz w:val="32"/>
        </w:rPr>
        <w:br w:type="page"/>
      </w:r>
    </w:p>
    <w:p>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32"/>
        </w:rPr>
        <w:t>第四章   资格审查与评标</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一、资格审查</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1、开标结束后，由</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负责资格审查小组的组建及资格审查工作的组织。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1.1资格审查小组由</w:t>
      </w:r>
      <w:r>
        <w:rPr>
          <w:rFonts w:ascii="Calibri" w:hAnsi="Calibri" w:eastAsia="宋体" w:cs="宋体"/>
          <w:kern w:val="0"/>
          <w:sz w:val="24"/>
          <w:szCs w:val="24"/>
        </w:rPr>
        <w:t>3</w:t>
      </w:r>
      <w:r>
        <w:rPr>
          <w:rFonts w:ascii="宋体" w:hAnsi="宋体" w:eastAsia="宋体" w:cs="宋体"/>
          <w:kern w:val="0"/>
          <w:sz w:val="24"/>
          <w:szCs w:val="24"/>
        </w:rPr>
        <w:t>人组成，并负责具体审查事务，其中：由采购人派出的采购人代表至少</w:t>
      </w:r>
      <w:r>
        <w:rPr>
          <w:rFonts w:ascii="宋体" w:hAnsi="宋体" w:eastAsia="宋体" w:cs="宋体"/>
          <w:kern w:val="0"/>
          <w:sz w:val="24"/>
          <w:szCs w:val="24"/>
          <w:u w:val="single"/>
        </w:rPr>
        <w:t>1</w:t>
      </w:r>
      <w:r>
        <w:rPr>
          <w:rFonts w:ascii="宋体" w:hAnsi="宋体" w:eastAsia="宋体" w:cs="宋体"/>
          <w:kern w:val="0"/>
          <w:sz w:val="24"/>
          <w:szCs w:val="24"/>
        </w:rPr>
        <w:t>人，由</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派出的工作人员至少</w:t>
      </w:r>
      <w:r>
        <w:rPr>
          <w:rFonts w:ascii="宋体" w:hAnsi="宋体" w:eastAsia="宋体" w:cs="宋体"/>
          <w:kern w:val="0"/>
          <w:sz w:val="24"/>
          <w:szCs w:val="24"/>
          <w:u w:val="single"/>
        </w:rPr>
        <w:t>1</w:t>
      </w:r>
      <w:r>
        <w:rPr>
          <w:rFonts w:ascii="宋体" w:hAnsi="宋体" w:eastAsia="宋体" w:cs="宋体"/>
          <w:kern w:val="0"/>
          <w:sz w:val="24"/>
          <w:szCs w:val="24"/>
        </w:rPr>
        <w:t>人，其余</w:t>
      </w:r>
      <w:r>
        <w:rPr>
          <w:rFonts w:ascii="宋体" w:hAnsi="宋体" w:eastAsia="宋体" w:cs="宋体"/>
          <w:kern w:val="0"/>
          <w:sz w:val="24"/>
          <w:szCs w:val="24"/>
          <w:u w:val="single"/>
        </w:rPr>
        <w:t>1</w:t>
      </w:r>
      <w:r>
        <w:rPr>
          <w:rFonts w:ascii="宋体" w:hAnsi="宋体" w:eastAsia="宋体" w:cs="宋体"/>
          <w:kern w:val="0"/>
          <w:sz w:val="24"/>
          <w:szCs w:val="24"/>
        </w:rPr>
        <w:t>人可为采购人代表或</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的工作人员。</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1.2资格审查的依据是招标文件和投标文件。</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1.3资格审查的范围及内容：投标文件（资格及资信证明部分），具体如下：</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  （1）“投标函”；</w:t>
      </w:r>
      <w:r>
        <w:rPr>
          <w:rFonts w:ascii="宋体" w:hAnsi="宋体" w:eastAsia="宋体" w:cs="宋体"/>
          <w:kern w:val="0"/>
          <w:sz w:val="24"/>
          <w:szCs w:val="24"/>
        </w:rPr>
        <w:br w:type="textWrapping"/>
      </w:r>
      <w:r>
        <w:rPr>
          <w:rFonts w:ascii="宋体" w:hAnsi="宋体" w:eastAsia="宋体" w:cs="宋体"/>
          <w:kern w:val="0"/>
          <w:sz w:val="24"/>
          <w:szCs w:val="24"/>
        </w:rPr>
        <w:t>  （2）“投标人的资格及资信证明文件”</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一般资格证明文件：</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283"/>
        <w:gridCol w:w="7039"/>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283" w:type="dxa"/>
            <w:tcBorders>
              <w:top w:val="single" w:color="666666" w:sz="6" w:space="0"/>
              <w:left w:val="single" w:color="666666" w:sz="6" w:space="0"/>
              <w:bottom w:val="single" w:color="666666" w:sz="6" w:space="0"/>
              <w:right w:val="single" w:color="666666" w:sz="6" w:space="0"/>
            </w:tcBorders>
            <w:vAlign w:val="center"/>
          </w:tcPr>
          <w:p>
            <w:pPr>
              <w:widowControl/>
              <w:spacing w:line="360" w:lineRule="auto"/>
              <w:rPr>
                <w:rFonts w:ascii="宋体" w:hAnsi="宋体" w:eastAsia="宋体" w:cs="宋体"/>
                <w:b/>
                <w:bCs/>
                <w:kern w:val="0"/>
                <w:sz w:val="24"/>
                <w:szCs w:val="24"/>
              </w:rPr>
            </w:pPr>
            <w:r>
              <w:rPr>
                <w:rFonts w:ascii="宋体" w:hAnsi="宋体" w:eastAsia="宋体" w:cs="宋体"/>
                <w:b/>
                <w:bCs/>
                <w:kern w:val="0"/>
                <w:sz w:val="24"/>
                <w:szCs w:val="24"/>
              </w:rPr>
              <w:t>明细</w:t>
            </w:r>
          </w:p>
        </w:tc>
        <w:tc>
          <w:tcPr>
            <w:tcW w:w="7039" w:type="dxa"/>
            <w:tcBorders>
              <w:top w:val="single" w:color="666666" w:sz="6" w:space="0"/>
              <w:left w:val="single" w:color="666666" w:sz="6" w:space="0"/>
              <w:bottom w:val="single" w:color="666666" w:sz="6" w:space="0"/>
              <w:right w:val="single" w:color="666666" w:sz="6" w:space="0"/>
            </w:tcBorders>
            <w:vAlign w:val="center"/>
          </w:tcPr>
          <w:p>
            <w:pPr>
              <w:widowControl/>
              <w:spacing w:line="360" w:lineRule="auto"/>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单位负责人授权书（若有）</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营业执照等证明文件</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财务状况报告（财务报告、或资信证明、或投标担保函）</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依法缴纳税收证明材料</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依法缴纳社会保障资金证明材料</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具备履行合同所必需设备和专业技术能力的声明函（若有）</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参加采购活动前三年内在经营活动中没有重大违法记录书面声明</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信用记录查询结果</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中小企业声明函（专门面向中小企业或小型、微型企业适用，若有）</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联合体协议（若有）</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28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检察机关行贿犯罪档案查询结果告知函（若有）</w:t>
            </w:r>
          </w:p>
        </w:tc>
        <w:tc>
          <w:tcPr>
            <w:tcW w:w="703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spacing w:before="75" w:after="75" w:line="360" w:lineRule="auto"/>
        <w:ind w:firstLine="480"/>
        <w:jc w:val="left"/>
        <w:rPr>
          <w:rFonts w:ascii="宋体" w:hAnsi="宋体" w:eastAsia="宋体" w:cs="宋体"/>
          <w:kern w:val="0"/>
          <w:sz w:val="24"/>
          <w:szCs w:val="24"/>
        </w:rPr>
      </w:pP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Times New Roman" w:hAnsi="Times New Roman" w:eastAsia="宋体" w:cs="Times New Roman"/>
          <w:kern w:val="0"/>
          <w:sz w:val="24"/>
          <w:szCs w:val="24"/>
        </w:rPr>
        <w:t>.</w:t>
      </w:r>
      <w:r>
        <w:rPr>
          <w:rFonts w:ascii="宋体" w:hAnsi="宋体" w:eastAsia="宋体" w:cs="宋体"/>
          <w:kern w:val="0"/>
          <w:sz w:val="24"/>
          <w:szCs w:val="24"/>
        </w:rPr>
        <w:t>其他资格证明文件：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（3）投标保证金。</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1.4有下列情形之一的，</w:t>
      </w:r>
      <w:r>
        <w:rPr>
          <w:rFonts w:ascii="宋体" w:hAnsi="宋体" w:eastAsia="宋体" w:cs="宋体"/>
          <w:b/>
          <w:bCs/>
          <w:kern w:val="0"/>
          <w:sz w:val="24"/>
          <w:szCs w:val="24"/>
        </w:rPr>
        <w:t>资格审查不合格：</w:t>
      </w:r>
      <w:r>
        <w:rPr>
          <w:rFonts w:ascii="宋体" w:hAnsi="宋体" w:eastAsia="宋体" w:cs="宋体"/>
          <w:b/>
          <w:bCs/>
          <w:kern w:val="0"/>
          <w:sz w:val="24"/>
          <w:szCs w:val="24"/>
        </w:rPr>
        <w:br w:type="textWrapping"/>
      </w:r>
      <w:r>
        <w:rPr>
          <w:rFonts w:ascii="宋体" w:hAnsi="宋体" w:eastAsia="宋体" w:cs="宋体"/>
          <w:kern w:val="0"/>
          <w:sz w:val="24"/>
          <w:szCs w:val="24"/>
        </w:rPr>
        <w:t>  （1）一般情形：</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vAlign w:val="center"/>
          </w:tcPr>
          <w:p>
            <w:pPr>
              <w:widowControl/>
              <w:spacing w:line="360" w:lineRule="auto"/>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（2）本项目规定的其他情形：</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宋体"/>
          <w:kern w:val="0"/>
          <w:sz w:val="24"/>
          <w:szCs w:val="24"/>
        </w:rPr>
        <w:t>1.2</w:t>
      </w:r>
      <w:r>
        <w:rPr>
          <w:rFonts w:ascii="宋体" w:hAnsi="宋体" w:eastAsia="宋体" w:cs="宋体"/>
          <w:kern w:val="0"/>
          <w:sz w:val="24"/>
          <w:szCs w:val="24"/>
        </w:rPr>
        <w:t>、</w:t>
      </w:r>
      <w:r>
        <w:rPr>
          <w:rFonts w:ascii="Calibri" w:hAnsi="Calibri" w:eastAsia="宋体" w:cs="宋体"/>
          <w:kern w:val="0"/>
          <w:sz w:val="24"/>
          <w:szCs w:val="24"/>
        </w:rPr>
        <w:t>1.3</w:t>
      </w:r>
      <w:r>
        <w:rPr>
          <w:rFonts w:ascii="宋体" w:hAnsi="宋体" w:eastAsia="宋体" w:cs="宋体"/>
          <w:kern w:val="0"/>
          <w:sz w:val="24"/>
          <w:szCs w:val="24"/>
        </w:rPr>
        <w:t>、</w:t>
      </w:r>
      <w:r>
        <w:rPr>
          <w:rFonts w:ascii="Calibri" w:hAnsi="Calibri" w:eastAsia="宋体" w:cs="宋体"/>
          <w:kern w:val="0"/>
          <w:sz w:val="24"/>
          <w:szCs w:val="24"/>
        </w:rPr>
        <w:t>1.4</w:t>
      </w:r>
      <w:r>
        <w:rPr>
          <w:rFonts w:ascii="宋体" w:hAnsi="宋体" w:eastAsia="宋体" w:cs="宋体"/>
          <w:kern w:val="0"/>
          <w:sz w:val="24"/>
          <w:szCs w:val="24"/>
        </w:rPr>
        <w:t>条规定进行资格审查。</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2、资格审查情况不得私自外泄，有关信息由</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统一对外发布。</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3、资格审查合格的投标人不足三家的，不进行评标。同时，本次采购活动结束，</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将依法组织后续采购活动（包括但不限于：重新招标、采用其他方式采购等）。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outlineLvl w:val="0"/>
        <w:rPr>
          <w:rFonts w:ascii="宋体" w:hAnsi="宋体" w:eastAsia="宋体" w:cs="宋体"/>
          <w:kern w:val="0"/>
          <w:sz w:val="24"/>
          <w:szCs w:val="24"/>
        </w:rPr>
      </w:pPr>
      <w:r>
        <w:rPr>
          <w:rFonts w:ascii="宋体" w:hAnsi="宋体" w:eastAsia="宋体" w:cs="宋体"/>
          <w:b/>
          <w:bCs/>
          <w:kern w:val="0"/>
          <w:sz w:val="24"/>
          <w:szCs w:val="24"/>
        </w:rPr>
        <w:t>二、评标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4、资格审查结束后，由福建优胜招标代理有限公司负责评标委员会的组建及评标工作的组织。</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5、评标委员会</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5.1评标委员会由采购人代表和评标专家两部分共</w:t>
      </w:r>
      <w:r>
        <w:rPr>
          <w:rFonts w:ascii="宋体" w:hAnsi="宋体" w:eastAsia="宋体" w:cs="宋体"/>
          <w:kern w:val="0"/>
          <w:sz w:val="24"/>
          <w:szCs w:val="24"/>
          <w:u w:val="single"/>
        </w:rPr>
        <w:t>5</w:t>
      </w:r>
      <w:r>
        <w:rPr>
          <w:rFonts w:ascii="宋体" w:hAnsi="宋体" w:eastAsia="宋体" w:cs="宋体"/>
          <w:kern w:val="0"/>
          <w:sz w:val="24"/>
          <w:szCs w:val="24"/>
        </w:rPr>
        <w:t>人（以下简称“评委”）组成，其中：由采购人派出的采购人代表</w:t>
      </w:r>
      <w:r>
        <w:rPr>
          <w:rFonts w:ascii="宋体" w:hAnsi="宋体" w:eastAsia="宋体" w:cs="宋体"/>
          <w:kern w:val="0"/>
          <w:sz w:val="24"/>
          <w:szCs w:val="24"/>
          <w:u w:val="single"/>
        </w:rPr>
        <w:t>1</w:t>
      </w:r>
      <w:r>
        <w:rPr>
          <w:rFonts w:ascii="宋体" w:hAnsi="宋体" w:eastAsia="宋体" w:cs="宋体"/>
          <w:kern w:val="0"/>
          <w:sz w:val="24"/>
          <w:szCs w:val="24"/>
        </w:rPr>
        <w:t>人，由福建省政府采购评审专家库产生的评标专家</w:t>
      </w:r>
      <w:r>
        <w:rPr>
          <w:rFonts w:ascii="宋体" w:hAnsi="宋体" w:eastAsia="宋体" w:cs="宋体"/>
          <w:kern w:val="0"/>
          <w:sz w:val="24"/>
          <w:szCs w:val="24"/>
          <w:u w:val="single"/>
        </w:rPr>
        <w:t>4</w:t>
      </w:r>
      <w:r>
        <w:rPr>
          <w:rFonts w:ascii="宋体" w:hAnsi="宋体" w:eastAsia="宋体" w:cs="宋体"/>
          <w:kern w:val="0"/>
          <w:sz w:val="24"/>
          <w:szCs w:val="24"/>
        </w:rPr>
        <w:t>人。</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5.2评标委员会负责具体评标事务，并按照下列原则依法独立履行有关职责：</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（1）评标应保护国家利益、社会公共利益和各方当事人合法权益，提高采购效益，保证项目质量。</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（2）评标应遵循公平、公正、科学、严谨和择优原则。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（3）评标的依据是招标文件和投标文件。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（4）应按照招标文件规定推荐中标候选人或确定中标人。</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（5）评标应遵守下列评标纪律：</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评标情况不得私自外泄，有关信息由</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统一对外发布。</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w:t>
      </w:r>
      <w:r>
        <w:rPr>
          <w:rFonts w:ascii="宋体" w:hAnsi="宋体" w:eastAsia="宋体" w:cs="宋体"/>
          <w:kern w:val="0"/>
          <w:sz w:val="24"/>
          <w:szCs w:val="24"/>
          <w:u w:val="single"/>
        </w:rPr>
        <w:t>福建优胜招标代理有限公司</w:t>
      </w:r>
      <w:r>
        <w:rPr>
          <w:rFonts w:ascii="宋体" w:hAnsi="宋体" w:eastAsia="宋体" w:cs="宋体"/>
          <w:kern w:val="0"/>
          <w:sz w:val="24"/>
          <w:szCs w:val="24"/>
        </w:rPr>
        <w:t>或投标人提供的要求保密的资料，不得摘记翻印和外传。</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全体评委应按照招标文件规定进行评标，一切认定事项应查有实据且不得弄虚作假。</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评标中应充分发扬民主，推荐中标候选人或确定中标人后要服从评标报告。</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对违反评标纪律的评委，将取消其评委资格，对评标工作造成严重损失者将予以通报批评乃至追究法律责任。</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6、评标程序</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6.1评标前的准备工作</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（1）全体评委应认真审阅招标文件，了解评委应履行或遵守的职责、义务和评标纪律。</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6.2符合性审查</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（2）满足招标文件的实质性要求指投标文件对招标文件实质性要求的响应不存在重大偏差或保留。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（5）评标委员会对所有投标人都执行相同的程序和标准。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w:t>
      </w:r>
      <w:r>
        <w:rPr>
          <w:rFonts w:ascii="宋体" w:hAnsi="宋体" w:eastAsia="宋体" w:cs="宋体"/>
          <w:b/>
          <w:bCs/>
          <w:kern w:val="0"/>
          <w:sz w:val="24"/>
          <w:szCs w:val="24"/>
        </w:rPr>
        <w:t>符合性审查不合格：</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项目一般情形：</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vAlign w:val="center"/>
          </w:tcPr>
          <w:p>
            <w:pPr>
              <w:widowControl/>
              <w:spacing w:line="360" w:lineRule="auto"/>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bl>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本项目规定的其他情形：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包：1 </w:t>
      </w:r>
      <w:r>
        <w:rPr>
          <w:rFonts w:ascii="宋体" w:hAnsi="宋体" w:eastAsia="宋体" w:cs="宋体"/>
          <w:kern w:val="0"/>
          <w:sz w:val="24"/>
          <w:szCs w:val="24"/>
        </w:rPr>
        <w:br w:type="textWrapping"/>
      </w:r>
      <w:r>
        <w:rPr>
          <w:rFonts w:ascii="宋体" w:hAnsi="宋体" w:eastAsia="宋体" w:cs="宋体"/>
          <w:kern w:val="0"/>
          <w:sz w:val="24"/>
          <w:szCs w:val="24"/>
        </w:rPr>
        <w:t xml:space="preserve">包一般情形 </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技术符合性 </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vAlign w:val="center"/>
          </w:tcPr>
          <w:p>
            <w:pPr>
              <w:widowControl/>
              <w:spacing w:line="360" w:lineRule="auto"/>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投标人的技术因素实际得分少于招标文件设定的技术因素总分50%的。</w:t>
            </w:r>
          </w:p>
        </w:tc>
      </w:tr>
    </w:tbl>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商务符合性 </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vAlign w:val="center"/>
          </w:tcPr>
          <w:p>
            <w:pPr>
              <w:widowControl/>
              <w:spacing w:line="360" w:lineRule="auto"/>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本项目的商务条件不允许存在实质性偏离，否则视为无效投标。</w:t>
            </w:r>
          </w:p>
        </w:tc>
      </w:tr>
    </w:tbl>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附加符合性</w:t>
      </w:r>
      <w:r>
        <w:rPr>
          <w:rFonts w:ascii="宋体" w:hAnsi="宋体" w:eastAsia="宋体" w:cs="宋体"/>
          <w:kern w:val="0"/>
          <w:sz w:val="24"/>
          <w:szCs w:val="24"/>
        </w:rPr>
        <w:br w:type="textWrapping"/>
      </w:r>
      <w:r>
        <w:rPr>
          <w:rFonts w:ascii="宋体" w:hAnsi="宋体" w:eastAsia="宋体" w:cs="宋体"/>
          <w:b/>
          <w:bCs/>
          <w:kern w:val="0"/>
          <w:sz w:val="24"/>
          <w:szCs w:val="24"/>
        </w:rPr>
        <w:t>         无</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 xml:space="preserve">价格符合性 </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vAlign w:val="center"/>
          </w:tcPr>
          <w:p>
            <w:pPr>
              <w:widowControl/>
              <w:spacing w:line="360" w:lineRule="auto"/>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投标人的投标报价超过本项目最高预算价者，按无效投标处理。</w:t>
            </w:r>
          </w:p>
        </w:tc>
      </w:tr>
    </w:tbl>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6.3澄清有关问题</w:t>
      </w:r>
    </w:p>
    <w:p>
      <w:pPr>
        <w:widowControl/>
        <w:spacing w:before="75" w:after="75" w:line="360" w:lineRule="auto"/>
        <w:ind w:firstLine="420"/>
        <w:jc w:val="left"/>
        <w:rPr>
          <w:rFonts w:ascii="宋体" w:hAnsi="宋体" w:eastAsia="宋体" w:cs="宋体"/>
          <w:kern w:val="0"/>
          <w:sz w:val="24"/>
          <w:szCs w:val="24"/>
        </w:rPr>
      </w:pPr>
      <w:r>
        <w:rPr>
          <w:rFonts w:ascii="宋体" w:hAnsi="宋体" w:eastAsia="宋体" w:cs="宋体"/>
          <w:kern w:val="0"/>
          <w:sz w:val="24"/>
          <w:szCs w:val="24"/>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ascii="宋体" w:hAnsi="宋体" w:eastAsia="宋体" w:cs="宋体"/>
          <w:kern w:val="0"/>
          <w:sz w:val="24"/>
          <w:szCs w:val="24"/>
        </w:rPr>
      </w:pPr>
      <w:r>
        <w:rPr>
          <w:rFonts w:ascii="宋体" w:hAnsi="宋体" w:eastAsia="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（3）投标文件报价出现前后不一致的，除招标文件另有规定外，按照下列规定修正：</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开标一览表内容与投标文件中相应内容不一致的，以开标一览表为准；</w:t>
      </w:r>
    </w:p>
    <w:p>
      <w:pPr>
        <w:widowControl/>
        <w:spacing w:before="75" w:after="75" w:line="360" w:lineRule="auto"/>
        <w:ind w:firstLine="480"/>
        <w:jc w:val="left"/>
        <w:outlineLvl w:val="0"/>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大写金额和小写金额不一致的，以大写金额为准；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单价金额小数点或百分比有明显错位的，以开标一览表的总价为准，并修改单价；</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总价金额与按照单价汇总金额不一致的，以单价金额计算结果为准。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同时出现两种以上不一致的，按照前款规定的顺序修正。修正后的报价应按照本章第</w:t>
      </w:r>
      <w:r>
        <w:rPr>
          <w:rFonts w:ascii="Calibri" w:hAnsi="Calibri" w:eastAsia="宋体" w:cs="宋体"/>
          <w:b/>
          <w:bCs/>
          <w:kern w:val="0"/>
          <w:sz w:val="24"/>
          <w:szCs w:val="24"/>
        </w:rPr>
        <w:t>6.3</w:t>
      </w:r>
      <w:r>
        <w:rPr>
          <w:rFonts w:ascii="宋体" w:hAnsi="宋体" w:eastAsia="宋体" w:cs="宋体"/>
          <w:b/>
          <w:bCs/>
          <w:kern w:val="0"/>
          <w:sz w:val="24"/>
          <w:szCs w:val="24"/>
        </w:rPr>
        <w:t>条第（</w:t>
      </w:r>
      <w:r>
        <w:rPr>
          <w:rFonts w:ascii="Calibri" w:hAnsi="Calibri" w:eastAsia="宋体" w:cs="宋体"/>
          <w:b/>
          <w:bCs/>
          <w:kern w:val="0"/>
          <w:sz w:val="24"/>
          <w:szCs w:val="24"/>
        </w:rPr>
        <w:t>1</w:t>
      </w:r>
      <w:r>
        <w:rPr>
          <w:rFonts w:ascii="宋体" w:hAnsi="宋体" w:eastAsia="宋体" w:cs="宋体"/>
          <w:b/>
          <w:bCs/>
          <w:kern w:val="0"/>
          <w:sz w:val="24"/>
          <w:szCs w:val="24"/>
        </w:rPr>
        <w:t>）、（</w:t>
      </w:r>
      <w:r>
        <w:rPr>
          <w:rFonts w:ascii="Calibri" w:hAnsi="Calibri" w:eastAsia="宋体" w:cs="宋体"/>
          <w:b/>
          <w:bCs/>
          <w:kern w:val="0"/>
          <w:sz w:val="24"/>
          <w:szCs w:val="24"/>
        </w:rPr>
        <w:t>2</w:t>
      </w:r>
      <w:r>
        <w:rPr>
          <w:rFonts w:ascii="宋体" w:hAnsi="宋体" w:eastAsia="宋体" w:cs="宋体"/>
          <w:b/>
          <w:bCs/>
          <w:kern w:val="0"/>
          <w:sz w:val="24"/>
          <w:szCs w:val="24"/>
        </w:rPr>
        <w:t>）款规定经投标人确认后产生约束力，投标人不确认的，其投标无效。</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（4）关于细微偏差</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outlineLvl w:val="0"/>
        <w:rPr>
          <w:rFonts w:ascii="宋体" w:hAnsi="宋体" w:eastAsia="宋体" w:cs="宋体"/>
          <w:kern w:val="0"/>
          <w:sz w:val="24"/>
          <w:szCs w:val="24"/>
        </w:rPr>
      </w:pPr>
      <w:r>
        <w:rPr>
          <w:rFonts w:ascii="宋体" w:hAnsi="宋体" w:eastAsia="宋体" w:cs="宋体"/>
          <w:kern w:val="0"/>
          <w:sz w:val="24"/>
          <w:szCs w:val="24"/>
        </w:rPr>
        <w:t>（5）关于投标描述（即投标文件中描述的内容）</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投标描述前后不一致且不涉及证明材料的：按照本章第</w:t>
      </w:r>
      <w:r>
        <w:rPr>
          <w:rFonts w:ascii="Calibri" w:hAnsi="Calibri" w:eastAsia="宋体" w:cs="宋体"/>
          <w:kern w:val="0"/>
          <w:sz w:val="24"/>
          <w:szCs w:val="24"/>
        </w:rPr>
        <w:t>6.3</w:t>
      </w:r>
      <w:r>
        <w:rPr>
          <w:rFonts w:ascii="宋体" w:hAnsi="宋体" w:eastAsia="宋体" w:cs="宋体"/>
          <w:kern w:val="0"/>
          <w:sz w:val="24"/>
          <w:szCs w:val="24"/>
        </w:rPr>
        <w:t>条第（</w:t>
      </w:r>
      <w:r>
        <w:rPr>
          <w:rFonts w:ascii="Calibri" w:hAnsi="Calibri" w:eastAsia="宋体" w:cs="宋体"/>
          <w:kern w:val="0"/>
          <w:sz w:val="24"/>
          <w:szCs w:val="24"/>
        </w:rPr>
        <w:t>1</w:t>
      </w:r>
      <w:r>
        <w:rPr>
          <w:rFonts w:ascii="宋体" w:hAnsi="宋体" w:eastAsia="宋体" w:cs="宋体"/>
          <w:kern w:val="0"/>
          <w:sz w:val="24"/>
          <w:szCs w:val="24"/>
        </w:rPr>
        <w:t>）、（</w:t>
      </w:r>
      <w:r>
        <w:rPr>
          <w:rFonts w:ascii="Calibri" w:hAnsi="Calibri" w:eastAsia="宋体" w:cs="宋体"/>
          <w:kern w:val="0"/>
          <w:sz w:val="24"/>
          <w:szCs w:val="24"/>
        </w:rPr>
        <w:t>2</w:t>
      </w:r>
      <w:r>
        <w:rPr>
          <w:rFonts w:ascii="宋体" w:hAnsi="宋体" w:eastAsia="宋体" w:cs="宋体"/>
          <w:kern w:val="0"/>
          <w:sz w:val="24"/>
          <w:szCs w:val="24"/>
        </w:rPr>
        <w:t>）款规定执行。</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投标描述与证明材料不一致或多份证明材料之间不一致的：</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a.评标委员会将要求投标人进行书面澄清，并按照不利于投标人的内容进行评标。</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6.4比较与评价</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（1）按照本章第</w:t>
      </w:r>
      <w:r>
        <w:rPr>
          <w:rFonts w:ascii="Calibri" w:hAnsi="Calibri" w:eastAsia="宋体" w:cs="宋体"/>
          <w:kern w:val="0"/>
          <w:sz w:val="24"/>
          <w:szCs w:val="24"/>
        </w:rPr>
        <w:t>7</w:t>
      </w:r>
      <w:r>
        <w:rPr>
          <w:rFonts w:ascii="宋体" w:hAnsi="宋体" w:eastAsia="宋体" w:cs="宋体"/>
          <w:kern w:val="0"/>
          <w:sz w:val="24"/>
          <w:szCs w:val="24"/>
        </w:rPr>
        <w:t>条载明的评标方法和标准，对符合性审查合格的投标文件进行比较与评价。</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（2）关于相同品牌产品</w:t>
      </w:r>
      <w:r>
        <w:rPr>
          <w:rFonts w:ascii="宋体" w:hAnsi="宋体" w:eastAsia="宋体" w:cs="宋体"/>
          <w:b/>
          <w:bCs/>
          <w:kern w:val="0"/>
          <w:sz w:val="24"/>
          <w:szCs w:val="24"/>
        </w:rPr>
        <w:t>（政府采购服务类项目不适用本条款规定）</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w:t>
      </w:r>
      <w:r>
        <w:rPr>
          <w:rFonts w:ascii="宋体" w:hAnsi="宋体" w:eastAsia="宋体" w:cs="宋体"/>
          <w:b/>
          <w:bCs/>
          <w:kern w:val="0"/>
          <w:sz w:val="24"/>
          <w:szCs w:val="24"/>
        </w:rPr>
        <w:t>投标无效。</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b.招标文件未规定的，采取随机抽取方式确定，其他同品牌投标人不作为中标候选人。</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非单一产品采购项目，多家投标人提供的核心产品品牌相同的，按照本章第</w:t>
      </w:r>
      <w:r>
        <w:rPr>
          <w:rFonts w:ascii="Calibri" w:hAnsi="Calibri" w:eastAsia="宋体" w:cs="宋体"/>
          <w:kern w:val="0"/>
          <w:sz w:val="24"/>
          <w:szCs w:val="24"/>
        </w:rPr>
        <w:t>6.4</w:t>
      </w:r>
      <w:r>
        <w:rPr>
          <w:rFonts w:ascii="宋体" w:hAnsi="宋体" w:eastAsia="宋体" w:cs="宋体"/>
          <w:kern w:val="0"/>
          <w:sz w:val="24"/>
          <w:szCs w:val="24"/>
        </w:rPr>
        <w:t>条第（</w:t>
      </w:r>
      <w:r>
        <w:rPr>
          <w:rFonts w:ascii="Calibri" w:hAnsi="Calibri" w:eastAsia="宋体" w:cs="宋体"/>
          <w:kern w:val="0"/>
          <w:sz w:val="24"/>
          <w:szCs w:val="24"/>
        </w:rPr>
        <w:t>2</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规定处理。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（3）漏（缺）项</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招标文件中要求列入报价的费用（含配置、功能），漏（缺）项的报价视为已经包括在投标总价中。</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对多报项及赠送项的价格评标时不予核减，全部进入评标价评议。</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6.5推荐中标候选人：详见本章第</w:t>
      </w:r>
      <w:r>
        <w:rPr>
          <w:rFonts w:ascii="Calibri" w:hAnsi="Calibri" w:eastAsia="宋体" w:cs="宋体"/>
          <w:kern w:val="0"/>
          <w:sz w:val="24"/>
          <w:szCs w:val="24"/>
        </w:rPr>
        <w:t>7.2</w:t>
      </w:r>
      <w:r>
        <w:rPr>
          <w:rFonts w:ascii="宋体" w:hAnsi="宋体" w:eastAsia="宋体" w:cs="宋体"/>
          <w:kern w:val="0"/>
          <w:sz w:val="24"/>
          <w:szCs w:val="24"/>
        </w:rPr>
        <w:t>条规定。</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6.6编写评标报告</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（1）评标报告由评标委员会负责编写。</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（2）评标报告应包括下列内容：</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招标公告刊登的媒体名称、开标日期和地点；</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投标人名单和评标委员会成员名单；</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评标方法和标准；</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开标记录和评标情况及说明，包括无效投标人名单及原因；</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评标结果，包括中标候选人名单或确定的中标人；</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其他需要说明的情况，包括但不限于：评标过程中投标人的澄清、说明或补正，评委更换等。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kern w:val="0"/>
          <w:sz w:val="24"/>
          <w:szCs w:val="24"/>
        </w:rPr>
        <w:t>投标无效</w:t>
      </w:r>
      <w:r>
        <w:rPr>
          <w:rFonts w:ascii="宋体" w:hAnsi="宋体" w:eastAsia="宋体" w:cs="宋体"/>
          <w:kern w:val="0"/>
          <w:sz w:val="24"/>
          <w:szCs w:val="24"/>
        </w:rPr>
        <w:t>处理。</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6.8评委对需要共同认定的事项存在争议的，应按照少数服从多数的原则进行认定。</w:t>
      </w:r>
      <w:r>
        <w:rPr>
          <w:rFonts w:ascii="宋体" w:hAnsi="宋体" w:eastAsia="宋体" w:cs="宋体"/>
          <w:b/>
          <w:bCs/>
          <w:kern w:val="0"/>
          <w:sz w:val="24"/>
          <w:szCs w:val="24"/>
        </w:rPr>
        <w:t>持不同意见的评委应在评标报告上签署不同意见及理由，否则视为同意评标报告。</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6.9在评标过程中发现投标人有下列情形之一的，评标委员会应认定其</w:t>
      </w:r>
      <w:r>
        <w:rPr>
          <w:rFonts w:ascii="宋体" w:hAnsi="宋体" w:eastAsia="宋体" w:cs="宋体"/>
          <w:b/>
          <w:bCs/>
          <w:kern w:val="0"/>
          <w:sz w:val="24"/>
          <w:szCs w:val="24"/>
        </w:rPr>
        <w:t>投标无效</w:t>
      </w:r>
      <w:r>
        <w:rPr>
          <w:rFonts w:ascii="宋体" w:hAnsi="宋体" w:eastAsia="宋体" w:cs="宋体"/>
          <w:kern w:val="0"/>
          <w:sz w:val="24"/>
          <w:szCs w:val="24"/>
        </w:rPr>
        <w:t>，并书面报告本项目监督管理部门：</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（1）恶意串通（包括但不限于招标文件第三章第</w:t>
      </w:r>
      <w:r>
        <w:rPr>
          <w:rFonts w:ascii="Calibri" w:hAnsi="Calibri" w:eastAsia="宋体" w:cs="宋体"/>
          <w:kern w:val="0"/>
          <w:sz w:val="24"/>
          <w:szCs w:val="24"/>
        </w:rPr>
        <w:t>9.7</w:t>
      </w:r>
      <w:r>
        <w:rPr>
          <w:rFonts w:ascii="宋体" w:hAnsi="宋体" w:eastAsia="宋体" w:cs="宋体"/>
          <w:kern w:val="0"/>
          <w:sz w:val="24"/>
          <w:szCs w:val="24"/>
        </w:rPr>
        <w:t>条规定情形）；</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（2）妨碍其他投标人的竞争行为；</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（3）损害采购人或其他投标人的合法权益。</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6.10评标过程中，有下列情形之一的，应予废标：</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（1）符合性审查合格的投标人不足三家的；</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（2）有关法律、法规和规章规定废标的情形。</w:t>
      </w:r>
    </w:p>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若废标，则本次采购活动结束，</w:t>
      </w:r>
      <w:r>
        <w:rPr>
          <w:rFonts w:ascii="宋体" w:hAnsi="宋体" w:eastAsia="宋体" w:cs="宋体"/>
          <w:kern w:val="0"/>
          <w:sz w:val="24"/>
          <w:szCs w:val="24"/>
          <w:u w:val="single"/>
        </w:rPr>
        <w:t>福建优胜招标代理有限公司</w:t>
      </w:r>
      <w:r>
        <w:rPr>
          <w:rFonts w:ascii="宋体" w:hAnsi="宋体" w:eastAsia="宋体" w:cs="宋体"/>
          <w:b/>
          <w:bCs/>
          <w:kern w:val="0"/>
          <w:sz w:val="24"/>
          <w:szCs w:val="24"/>
        </w:rPr>
        <w:t>将依法组织后续采购活动（包括但不限于：重新招标、采用其他方式采购等）。</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7、评标方法和标准</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7.1评标方法： 合同包1采用综合评分法。</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7.2评标标准</w:t>
      </w:r>
    </w:p>
    <w:p>
      <w:pPr>
        <w:widowControl/>
        <w:shd w:val="clear" w:color="auto" w:fill="FFFFFF"/>
        <w:spacing w:after="150" w:line="360" w:lineRule="auto"/>
        <w:jc w:val="left"/>
        <w:rPr>
          <w:rFonts w:ascii="微软雅黑" w:hAnsi="微软雅黑" w:eastAsia="微软雅黑" w:cs="宋体"/>
          <w:color w:val="393939"/>
          <w:kern w:val="0"/>
          <w:sz w:val="20"/>
          <w:szCs w:val="20"/>
        </w:rPr>
      </w:pPr>
      <w:r>
        <w:rPr>
          <w:rFonts w:ascii="宋体" w:hAnsi="宋体" w:eastAsia="微软雅黑" w:cs="宋体"/>
          <w:b/>
          <w:bCs/>
          <w:color w:val="393939"/>
          <w:kern w:val="0"/>
          <w:sz w:val="24"/>
          <w:szCs w:val="24"/>
        </w:rPr>
        <w:t>合同包1采用综合评分法</w:t>
      </w:r>
      <w:r>
        <w:rPr>
          <w:rFonts w:ascii="宋体" w:hAnsi="宋体" w:eastAsia="微软雅黑" w:cs="宋体"/>
          <w:color w:val="393939"/>
          <w:kern w:val="0"/>
          <w:sz w:val="24"/>
          <w:szCs w:val="24"/>
        </w:rPr>
        <w:t>：</w:t>
      </w:r>
      <w:r>
        <w:rPr>
          <w:rFonts w:hint="eastAsia" w:ascii="微软雅黑" w:hAnsi="微软雅黑" w:eastAsia="微软雅黑" w:cs="宋体"/>
          <w:color w:val="393939"/>
          <w:kern w:val="0"/>
          <w:sz w:val="20"/>
          <w:szCs w:val="20"/>
        </w:rPr>
        <w:t xml:space="preserve">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 xml:space="preserve">（1）投标文件满足招标文件全部实质性要求，且按照评审因素的量化指标评审得分（即评标总得分）最高的投标人为中标候选人。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（2）每个投标人的评标总得分</w:t>
      </w:r>
      <w:r>
        <w:rPr>
          <w:rFonts w:ascii="Calibri" w:hAnsi="Calibri" w:eastAsia="宋体" w:cs="宋体"/>
          <w:kern w:val="0"/>
          <w:sz w:val="24"/>
          <w:szCs w:val="24"/>
        </w:rPr>
        <w:t>FA</w:t>
      </w:r>
      <w:r>
        <w:rPr>
          <w:rFonts w:ascii="宋体" w:hAnsi="宋体" w:eastAsia="宋体" w:cs="宋体"/>
          <w:kern w:val="0"/>
          <w:sz w:val="24"/>
          <w:szCs w:val="24"/>
        </w:rPr>
        <w:t>＝</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w:t>
      </w:r>
      <w:r>
        <w:rPr>
          <w:rFonts w:ascii="Calibri" w:hAnsi="Calibri" w:eastAsia="宋体" w:cs="宋体"/>
          <w:kern w:val="0"/>
          <w:sz w:val="24"/>
          <w:szCs w:val="24"/>
        </w:rPr>
        <w:t>F3</w:t>
      </w:r>
      <w:r>
        <w:rPr>
          <w:rFonts w:ascii="宋体" w:hAnsi="宋体" w:eastAsia="宋体" w:cs="宋体"/>
          <w:kern w:val="0"/>
          <w:sz w:val="24"/>
          <w:szCs w:val="24"/>
        </w:rPr>
        <w:t>×</w:t>
      </w:r>
      <w:r>
        <w:rPr>
          <w:rFonts w:ascii="Calibri" w:hAnsi="Calibri" w:eastAsia="宋体" w:cs="宋体"/>
          <w:kern w:val="0"/>
          <w:sz w:val="24"/>
          <w:szCs w:val="24"/>
        </w:rPr>
        <w:t>A3</w:t>
      </w:r>
      <w:r>
        <w:rPr>
          <w:rFonts w:ascii="宋体" w:hAnsi="宋体" w:eastAsia="宋体" w:cs="宋体"/>
          <w:kern w:val="0"/>
          <w:sz w:val="24"/>
          <w:szCs w:val="24"/>
        </w:rPr>
        <w:t>＋</w:t>
      </w:r>
      <w:r>
        <w:rPr>
          <w:rFonts w:ascii="Calibri" w:hAnsi="Calibri" w:eastAsia="宋体" w:cs="宋体"/>
          <w:kern w:val="0"/>
          <w:sz w:val="24"/>
          <w:szCs w:val="24"/>
        </w:rPr>
        <w:t>F4</w:t>
      </w:r>
      <w:r>
        <w:rPr>
          <w:rFonts w:ascii="宋体" w:hAnsi="宋体" w:eastAsia="宋体" w:cs="宋体"/>
          <w:kern w:val="0"/>
          <w:sz w:val="24"/>
          <w:szCs w:val="24"/>
        </w:rPr>
        <w:t>×</w:t>
      </w:r>
      <w:r>
        <w:rPr>
          <w:rFonts w:ascii="Calibri" w:hAnsi="Calibri" w:eastAsia="宋体" w:cs="宋体"/>
          <w:kern w:val="0"/>
          <w:sz w:val="24"/>
          <w:szCs w:val="24"/>
        </w:rPr>
        <w:t>A4</w:t>
      </w:r>
      <w:r>
        <w:rPr>
          <w:rFonts w:ascii="宋体" w:hAnsi="宋体" w:eastAsia="宋体" w:cs="宋体"/>
          <w:kern w:val="0"/>
          <w:sz w:val="24"/>
          <w:szCs w:val="24"/>
        </w:rPr>
        <w:t>（若有），其中：</w:t>
      </w:r>
      <w:r>
        <w:rPr>
          <w:rFonts w:ascii="Calibri" w:hAnsi="Calibri" w:eastAsia="宋体" w:cs="宋体"/>
          <w:kern w:val="0"/>
          <w:sz w:val="24"/>
          <w:szCs w:val="24"/>
        </w:rPr>
        <w:t>F1</w:t>
      </w:r>
      <w:r>
        <w:rPr>
          <w:rFonts w:ascii="宋体" w:hAnsi="宋体" w:eastAsia="宋体" w:cs="宋体"/>
          <w:kern w:val="0"/>
          <w:sz w:val="24"/>
          <w:szCs w:val="24"/>
        </w:rPr>
        <w:t>指价格项评审因素得分、</w:t>
      </w:r>
      <w:r>
        <w:rPr>
          <w:rFonts w:ascii="Calibri" w:hAnsi="Calibri" w:eastAsia="宋体" w:cs="宋体"/>
          <w:kern w:val="0"/>
          <w:sz w:val="24"/>
          <w:szCs w:val="24"/>
        </w:rPr>
        <w:t>F2</w:t>
      </w:r>
      <w:r>
        <w:rPr>
          <w:rFonts w:ascii="宋体" w:hAnsi="宋体" w:eastAsia="宋体" w:cs="宋体"/>
          <w:kern w:val="0"/>
          <w:sz w:val="24"/>
          <w:szCs w:val="24"/>
        </w:rPr>
        <w:t>指技术项评审因素得分、</w:t>
      </w:r>
      <w:r>
        <w:rPr>
          <w:rFonts w:ascii="Calibri" w:hAnsi="Calibri" w:eastAsia="宋体" w:cs="宋体"/>
          <w:kern w:val="0"/>
          <w:sz w:val="24"/>
          <w:szCs w:val="24"/>
        </w:rPr>
        <w:t>F3</w:t>
      </w:r>
      <w:r>
        <w:rPr>
          <w:rFonts w:ascii="宋体" w:hAnsi="宋体" w:eastAsia="宋体" w:cs="宋体"/>
          <w:kern w:val="0"/>
          <w:sz w:val="24"/>
          <w:szCs w:val="24"/>
        </w:rPr>
        <w:t>指商务项评审因素得分，</w:t>
      </w:r>
      <w:r>
        <w:rPr>
          <w:rFonts w:ascii="Calibri" w:hAnsi="Calibri" w:eastAsia="宋体" w:cs="宋体"/>
          <w:kern w:val="0"/>
          <w:sz w:val="24"/>
          <w:szCs w:val="24"/>
        </w:rPr>
        <w:t>A1</w:t>
      </w:r>
      <w:r>
        <w:rPr>
          <w:rFonts w:ascii="宋体" w:hAnsi="宋体" w:eastAsia="宋体" w:cs="宋体"/>
          <w:kern w:val="0"/>
          <w:sz w:val="24"/>
          <w:szCs w:val="24"/>
        </w:rPr>
        <w:t>指价格项评审因素所占的权重、</w:t>
      </w:r>
      <w:r>
        <w:rPr>
          <w:rFonts w:ascii="Calibri" w:hAnsi="Calibri" w:eastAsia="宋体" w:cs="宋体"/>
          <w:kern w:val="0"/>
          <w:sz w:val="24"/>
          <w:szCs w:val="24"/>
        </w:rPr>
        <w:t>A2</w:t>
      </w:r>
      <w:r>
        <w:rPr>
          <w:rFonts w:ascii="宋体" w:hAnsi="宋体" w:eastAsia="宋体" w:cs="宋体"/>
          <w:kern w:val="0"/>
          <w:sz w:val="24"/>
          <w:szCs w:val="24"/>
        </w:rPr>
        <w:t>指技术项评审因素所占的权重、</w:t>
      </w:r>
      <w:r>
        <w:rPr>
          <w:rFonts w:ascii="Calibri" w:hAnsi="Calibri" w:eastAsia="宋体" w:cs="宋体"/>
          <w:kern w:val="0"/>
          <w:sz w:val="24"/>
          <w:szCs w:val="24"/>
        </w:rPr>
        <w:t>A3</w:t>
      </w:r>
      <w:r>
        <w:rPr>
          <w:rFonts w:ascii="宋体" w:hAnsi="宋体" w:eastAsia="宋体" w:cs="宋体"/>
          <w:kern w:val="0"/>
          <w:sz w:val="24"/>
          <w:szCs w:val="24"/>
        </w:rPr>
        <w:t>指商务项评审因素所占的权重，</w:t>
      </w:r>
      <w:r>
        <w:rPr>
          <w:rFonts w:ascii="Calibri" w:hAnsi="Calibri" w:eastAsia="宋体" w:cs="宋体"/>
          <w:kern w:val="0"/>
          <w:sz w:val="24"/>
          <w:szCs w:val="24"/>
        </w:rPr>
        <w:t>A1+A2+A3=1</w:t>
      </w:r>
      <w:r>
        <w:rPr>
          <w:rFonts w:ascii="宋体" w:hAnsi="宋体" w:eastAsia="宋体" w:cs="宋体"/>
          <w:kern w:val="0"/>
          <w:sz w:val="24"/>
          <w:szCs w:val="24"/>
        </w:rPr>
        <w:t>、</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w:t>
      </w:r>
      <w:r>
        <w:rPr>
          <w:rFonts w:ascii="Calibri" w:hAnsi="Calibri" w:eastAsia="宋体" w:cs="宋体"/>
          <w:kern w:val="0"/>
          <w:sz w:val="24"/>
          <w:szCs w:val="24"/>
        </w:rPr>
        <w:t>F3</w:t>
      </w:r>
      <w:r>
        <w:rPr>
          <w:rFonts w:ascii="宋体" w:hAnsi="宋体" w:eastAsia="宋体" w:cs="宋体"/>
          <w:kern w:val="0"/>
          <w:sz w:val="24"/>
          <w:szCs w:val="24"/>
        </w:rPr>
        <w:t>×</w:t>
      </w:r>
      <w:r>
        <w:rPr>
          <w:rFonts w:ascii="Calibri" w:hAnsi="Calibri" w:eastAsia="宋体" w:cs="宋体"/>
          <w:kern w:val="0"/>
          <w:sz w:val="24"/>
          <w:szCs w:val="24"/>
        </w:rPr>
        <w:t>A3=100</w:t>
      </w:r>
      <w:r>
        <w:rPr>
          <w:rFonts w:ascii="宋体" w:hAnsi="宋体" w:eastAsia="宋体" w:cs="宋体"/>
          <w:kern w:val="0"/>
          <w:sz w:val="24"/>
          <w:szCs w:val="24"/>
        </w:rPr>
        <w:t>分（满分时），</w:t>
      </w:r>
      <w:r>
        <w:rPr>
          <w:rFonts w:ascii="Calibri" w:hAnsi="Calibri" w:eastAsia="宋体" w:cs="宋体"/>
          <w:kern w:val="0"/>
          <w:sz w:val="24"/>
          <w:szCs w:val="24"/>
        </w:rPr>
        <w:t>F4</w:t>
      </w:r>
      <w:r>
        <w:rPr>
          <w:rFonts w:ascii="宋体" w:hAnsi="宋体" w:eastAsia="宋体" w:cs="宋体"/>
          <w:kern w:val="0"/>
          <w:sz w:val="24"/>
          <w:szCs w:val="24"/>
        </w:rPr>
        <w:t>×</w:t>
      </w:r>
      <w:r>
        <w:rPr>
          <w:rFonts w:ascii="Calibri" w:hAnsi="Calibri" w:eastAsia="宋体" w:cs="宋体"/>
          <w:kern w:val="0"/>
          <w:sz w:val="24"/>
          <w:szCs w:val="24"/>
        </w:rPr>
        <w:t>A4</w:t>
      </w:r>
      <w:r>
        <w:rPr>
          <w:rFonts w:ascii="宋体" w:hAnsi="宋体" w:eastAsia="宋体" w:cs="宋体"/>
          <w:kern w:val="0"/>
          <w:sz w:val="24"/>
          <w:szCs w:val="24"/>
        </w:rPr>
        <w:t xml:space="preserve">为加分项（即优先类节能产品、环境标志产品在采购活动中可享有的加分优惠）。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 xml:space="preserve">（3）各项评审因素的设置如下：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价格项（</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）满分为</w:t>
      </w:r>
      <w:r>
        <w:rPr>
          <w:rFonts w:ascii="宋体" w:hAnsi="宋体" w:eastAsia="宋体" w:cs="宋体"/>
          <w:kern w:val="0"/>
          <w:sz w:val="24"/>
          <w:szCs w:val="24"/>
          <w:u w:val="single"/>
        </w:rPr>
        <w:t>10</w:t>
      </w:r>
      <w:r>
        <w:rPr>
          <w:rFonts w:ascii="宋体" w:hAnsi="宋体" w:eastAsia="宋体" w:cs="宋体"/>
          <w:kern w:val="0"/>
          <w:sz w:val="24"/>
          <w:szCs w:val="24"/>
        </w:rPr>
        <w:t>分。</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宋体"/>
          <w:kern w:val="0"/>
          <w:sz w:val="24"/>
          <w:szCs w:val="24"/>
        </w:rPr>
        <w:t>=</w:t>
      </w:r>
      <w:r>
        <w:rPr>
          <w:rFonts w:ascii="宋体" w:hAnsi="宋体" w:eastAsia="宋体" w:cs="宋体"/>
          <w:kern w:val="0"/>
          <w:sz w:val="24"/>
          <w:szCs w:val="24"/>
        </w:rPr>
        <w:t>（评标基准价／投标报价）×</w:t>
      </w:r>
      <w:r>
        <w:rPr>
          <w:rFonts w:ascii="Calibri" w:hAnsi="Calibri" w:eastAsia="宋体" w:cs="宋体"/>
          <w:kern w:val="0"/>
          <w:sz w:val="24"/>
          <w:szCs w:val="24"/>
        </w:rPr>
        <w:t>100</w:t>
      </w:r>
      <w:r>
        <w:rPr>
          <w:rFonts w:ascii="宋体" w:hAnsi="宋体" w:eastAsia="宋体" w:cs="宋体"/>
          <w:kern w:val="0"/>
          <w:sz w:val="24"/>
          <w:szCs w:val="24"/>
        </w:rPr>
        <w:t xml:space="preserve">。因落实政府采购政策需进行价格扣除的，以扣除后的价格计算评标基准价和投标报价。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Calibri" w:hAnsi="Calibri" w:eastAsia="宋体" w:cs="宋体"/>
          <w:kern w:val="0"/>
          <w:sz w:val="24"/>
          <w:szCs w:val="24"/>
        </w:rPr>
        <w:t>b.</w:t>
      </w:r>
      <w:r>
        <w:rPr>
          <w:rFonts w:ascii="宋体" w:hAnsi="宋体" w:eastAsia="宋体" w:cs="宋体"/>
          <w:kern w:val="0"/>
          <w:sz w:val="24"/>
          <w:szCs w:val="24"/>
        </w:rPr>
        <w:t>价格扣除的规则如下：</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562"/>
        <w:gridCol w:w="776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56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评标项目</w:t>
            </w:r>
          </w:p>
        </w:tc>
        <w:tc>
          <w:tcPr>
            <w:tcW w:w="7760"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评标方法</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562"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小型、微型企业，监狱企业，残疾人</w:t>
            </w:r>
          </w:p>
        </w:tc>
        <w:tc>
          <w:tcPr>
            <w:tcW w:w="7760"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关于中小企业生产或销售的产品或服务部分的评审优惠内容及幅度： 根据中华人民共和国财政部、中华人民共和国工业和信息化部《政府采购促进中小企业发展暂行办法》（财库[2011]181号）文件的规定，中小企业参与投标报价享受相应优惠对小型和微型企业产品的价格给予6%的价格扣除，用扣除后的价格参与价格分的评审。符合财政部、司法部文件（财库[2014]68号）规定的监狱企业亦可享受扶持政策。所有扣除价格的货币单位与投标人报价的货币单位一致。(若为服务类采购项目，则不享受监狱企业及中小企业价格扣除优惠政策） （1）中小企业（含中型、小型、微型企业，下同）应当同时符合以下条件： ① 符合中小企业划分标准（按《关于印发中小企业划型标准规定的通知》（工信部联企业〔2011〕300号）执行）。 ② 提供本企业制造的货物、承担的工程或者服务，或者提供其他中小企业制造的货物。本项所称货物不包括使用大型企业注册商标的货物。 ③ 小型、微型企业提供中型企业制造的货物的，视同为中型企业。 （2）小型和微型企业适用优惠内容及幅度时须提供相关资料，否则不给予价格扣除： ① 《中小企业生产或销售的产品或服务优惠明细表》。 ② 《中小企业声明函》（格式附后）。 ③ 由投标产品生产企业且投标人所在地县级以上中小企业主管部门出具的证明文件复印件；（原件备查） ④ 应提供参与报价时最近2个月的《社会保险费申报表》、《社会保险费申报明细表》及以下资金证明：（1）实行电子缴纳方式的，及银行出具的缴款收讫凭证复印件；（2）实行现场缴纳方式的，应提供辖区内税务机关或省辖区内社保机构出具的参与报价时最近2个月缴纳社会保险资金证明。以上证明材料须加盖报价企业的公章。 注：中小微企业划分标准表（工信部联企业〔2011〕300号）若所投标产品为进口产品的，不适用《政府采购促进中小企业发展暂行办法》。 （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 ①监狱企业参加采购活动时，提供由省级及以上监狱管理局、戒毒管理局（含新疆生产建设兵团）出具的属于监狱企业的证明文件。 ② 监狱企业视同小型、微型企业。 以上所有证明文件复印件须加盖投标人公章并注明“与原件一致”，否则不予价格扣除。评标委员会审查此项响应性只根据投标文件本身的内容，而不寻求其他的外部证据。 《三部门联合发布关于促进残疾人就业政府采购政策的通知》价格的扣除：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级人民政府批准的月最低工资标准的工资； (5)提供本单位制造的货物、承担的工程或者服务(以下简称产品)，或者提供其他残疾人福利性单位制造的货物(不包括使用非残疾人福利性单位注册商 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2、符合条件的残疾人福利性单位在参加政府采购活动时，应当提供《三部门联合发布关于促进残疾人就业政府采购政策的通知》规定的《残疾人福利性单位声明函》(见中国政府采购网 http://www.ccgp.gov.cn/news/201709/t20170901_8784576.htm )，并对声明的真实性负责。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widowControl/>
        <w:spacing w:before="100" w:beforeAutospacing="1" w:after="100" w:afterAutospacing="1"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技术项（</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）满分为</w:t>
      </w:r>
      <w:r>
        <w:rPr>
          <w:rFonts w:ascii="宋体" w:hAnsi="宋体" w:eastAsia="宋体" w:cs="宋体"/>
          <w:kern w:val="0"/>
          <w:sz w:val="24"/>
          <w:szCs w:val="24"/>
          <w:u w:val="single"/>
        </w:rPr>
        <w:t>76</w:t>
      </w:r>
      <w:r>
        <w:rPr>
          <w:rFonts w:ascii="宋体" w:hAnsi="宋体" w:eastAsia="宋体" w:cs="宋体"/>
          <w:kern w:val="0"/>
          <w:sz w:val="24"/>
          <w:szCs w:val="24"/>
        </w:rPr>
        <w:t>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评标项目</w:t>
            </w:r>
          </w:p>
        </w:tc>
        <w:tc>
          <w:tcPr>
            <w:tcW w:w="1276" w:type="dxa"/>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评标分值</w:t>
            </w:r>
          </w:p>
        </w:tc>
        <w:tc>
          <w:tcPr>
            <w:tcW w:w="6004" w:type="dxa"/>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1、服务响应情况</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Theme="minorEastAsia" w:hAnsiTheme="minorEastAsia"/>
                <w:sz w:val="24"/>
                <w:szCs w:val="24"/>
              </w:rPr>
              <w:t>20</w:t>
            </w:r>
          </w:p>
        </w:tc>
        <w:tc>
          <w:tcPr>
            <w:tcW w:w="6004" w:type="dxa"/>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 w:val="24"/>
                <w:szCs w:val="24"/>
              </w:rPr>
              <w:t>根据投标人对招标文件第五章《招标内容及要求》二、技术和服务要求的各项服务要求的响应情况，全部满足的得20分，每负偏离一项扣3分，扣完为止，正偏离不加分。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2、总体</w:t>
            </w:r>
          </w:p>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说明</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Theme="minorEastAsia" w:hAnsiTheme="minorEastAsia"/>
                <w:sz w:val="24"/>
                <w:szCs w:val="24"/>
              </w:rPr>
              <w:t>3</w:t>
            </w:r>
          </w:p>
        </w:tc>
        <w:tc>
          <w:tcPr>
            <w:tcW w:w="6004" w:type="dxa"/>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 w:val="24"/>
                <w:szCs w:val="24"/>
              </w:rPr>
              <w:t>根据投标人提供的规划设计总体说明，规划设计思路明确、逻辑清晰。由评委进行横向比较，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3、规划理念</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Theme="minorEastAsia" w:hAnsiTheme="minorEastAsia"/>
                <w:sz w:val="24"/>
                <w:szCs w:val="24"/>
              </w:rPr>
              <w:t>3</w:t>
            </w:r>
          </w:p>
        </w:tc>
        <w:tc>
          <w:tcPr>
            <w:tcW w:w="6004" w:type="dxa"/>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 w:val="24"/>
                <w:szCs w:val="24"/>
              </w:rPr>
              <w:t>根据投标人的规划设计理念先进性，对标国内外案例，充分利用现代标识简洁、个性、充满人性化的精细化设计情况。结合福州本地特色，对相关案例进行深入解读，提出适合本地的导向标识系统解决思路，具有创新性，且科学合理具备可操作性。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4、规划内容1</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现状问题分析与研究。</w:t>
            </w:r>
            <w:r>
              <w:rPr>
                <w:rFonts w:hint="eastAsia" w:asciiTheme="minorEastAsia" w:hAnsiTheme="minorEastAsia"/>
                <w:sz w:val="24"/>
                <w:szCs w:val="24"/>
              </w:rPr>
              <w:t>科学合理分析福州既有车行、旅游、人行等标识系统现状存在问题。可选取示范段道路，通过建立模型对其解决思路及观点进行阐述和论证。</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Theme="minorEastAsia" w:hAnsiTheme="minorEastAsia"/>
                <w:bCs/>
                <w:color w:val="000000" w:themeColor="text1"/>
                <w:sz w:val="24"/>
                <w:szCs w:val="24"/>
              </w:rPr>
              <w:t>规划内容2</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技术路线</w:t>
            </w:r>
            <w:r>
              <w:rPr>
                <w:rFonts w:hint="eastAsia" w:asciiTheme="minorEastAsia" w:hAnsiTheme="minorEastAsia"/>
                <w:sz w:val="24"/>
                <w:szCs w:val="24"/>
              </w:rPr>
              <w:t>：根据现状分析以及研究思路的阐述，并通过对现有国内外导向标识标准的研究，提出科学、可操作性的技术路线</w:t>
            </w:r>
            <w:r>
              <w:rPr>
                <w:rFonts w:hint="eastAsia" w:cs="宋体-方正超大字符集" w:asciiTheme="minorEastAsia" w:hAnsiTheme="minorEastAsia"/>
                <w:sz w:val="24"/>
                <w:szCs w:val="24"/>
              </w:rPr>
              <w:t>。科学合理，有针对性，得3分；方法可行，措施较好，得2分；措施力度不够，得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未提供的不得分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6、</w:t>
            </w:r>
            <w:r>
              <w:rPr>
                <w:rFonts w:hint="eastAsia" w:asciiTheme="minorEastAsia" w:hAnsiTheme="minorEastAsia"/>
                <w:bCs/>
                <w:color w:val="000000" w:themeColor="text1"/>
                <w:sz w:val="24"/>
                <w:szCs w:val="24"/>
              </w:rPr>
              <w:t>规划内容3</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总体目标：</w:t>
            </w:r>
            <w:r>
              <w:rPr>
                <w:rFonts w:hint="eastAsia" w:asciiTheme="minorEastAsia" w:hAnsiTheme="minorEastAsia"/>
                <w:sz w:val="24"/>
                <w:szCs w:val="24"/>
              </w:rPr>
              <w:t>根据投标人提出的标识系统规划总体目标，根据其目标</w:t>
            </w:r>
            <w:r>
              <w:rPr>
                <w:rFonts w:hint="eastAsia" w:cs="宋体-方正超大字符集" w:asciiTheme="minorEastAsia" w:hAnsiTheme="minorEastAsia"/>
                <w:sz w:val="24"/>
                <w:szCs w:val="24"/>
              </w:rPr>
              <w:t>定位精准情况。</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7、</w:t>
            </w:r>
            <w:r>
              <w:rPr>
                <w:rFonts w:hint="eastAsia" w:asciiTheme="minorEastAsia" w:hAnsiTheme="minorEastAsia"/>
                <w:bCs/>
                <w:color w:val="000000" w:themeColor="text1"/>
                <w:sz w:val="24"/>
                <w:szCs w:val="24"/>
              </w:rPr>
              <w:t>规划内容4</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总体布局：</w:t>
            </w:r>
            <w:r>
              <w:rPr>
                <w:rFonts w:hint="eastAsia" w:asciiTheme="minorEastAsia" w:hAnsiTheme="minorEastAsia"/>
                <w:sz w:val="24"/>
                <w:szCs w:val="24"/>
              </w:rPr>
              <w:t>根据投标人提供的总体布局方案是否具备分区理念、体现差异化设计，并综合考虑各类标识。</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8、</w:t>
            </w:r>
            <w:r>
              <w:rPr>
                <w:rFonts w:hint="eastAsia" w:asciiTheme="minorEastAsia" w:hAnsiTheme="minorEastAsia"/>
                <w:bCs/>
                <w:color w:val="000000" w:themeColor="text1"/>
                <w:sz w:val="24"/>
                <w:szCs w:val="24"/>
              </w:rPr>
              <w:t>规划内容5</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sz w:val="24"/>
                <w:szCs w:val="24"/>
              </w:rPr>
            </w:pPr>
            <w:r>
              <w:rPr>
                <w:rFonts w:hint="eastAsia" w:cs="宋体-方正超大字符集" w:asciiTheme="minorEastAsia" w:hAnsiTheme="minorEastAsia"/>
                <w:b/>
                <w:sz w:val="24"/>
                <w:szCs w:val="24"/>
              </w:rPr>
              <w:t>改善措施：</w:t>
            </w:r>
            <w:r>
              <w:rPr>
                <w:rFonts w:hint="eastAsia" w:cs="宋体-方正超大字符集" w:asciiTheme="minorEastAsia" w:hAnsiTheme="minorEastAsia"/>
                <w:sz w:val="24"/>
                <w:szCs w:val="24"/>
              </w:rPr>
              <w:t>针对福州城市现有各类标识系统存在问题，提出相关改进措施。由评委进行</w:t>
            </w:r>
            <w:r>
              <w:rPr>
                <w:rFonts w:hint="eastAsia" w:cs="宋体-方正超大字符集" w:asciiTheme="minorEastAsia" w:hAnsiTheme="minorEastAsia"/>
                <w:color w:val="000000" w:themeColor="text1"/>
                <w:sz w:val="24"/>
                <w:szCs w:val="24"/>
              </w:rPr>
              <w:t>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9、</w:t>
            </w:r>
            <w:r>
              <w:rPr>
                <w:rFonts w:hint="eastAsia" w:asciiTheme="minorEastAsia" w:hAnsiTheme="minorEastAsia"/>
                <w:bCs/>
                <w:color w:val="000000" w:themeColor="text1"/>
                <w:sz w:val="24"/>
                <w:szCs w:val="24"/>
              </w:rPr>
              <w:t>规划内容6</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信息分类：</w:t>
            </w:r>
            <w:r>
              <w:rPr>
                <w:rFonts w:hint="eastAsia" w:asciiTheme="minorEastAsia" w:hAnsiTheme="minorEastAsia"/>
                <w:sz w:val="24"/>
                <w:szCs w:val="24"/>
              </w:rPr>
              <w:t>投标人提供一期示范区、示范段范围内的导向标识指引信息分类方案。</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10、</w:t>
            </w:r>
            <w:r>
              <w:rPr>
                <w:rFonts w:hint="eastAsia" w:asciiTheme="minorEastAsia" w:hAnsiTheme="minorEastAsia"/>
                <w:bCs/>
                <w:color w:val="000000" w:themeColor="text1"/>
                <w:sz w:val="24"/>
                <w:szCs w:val="24"/>
              </w:rPr>
              <w:t>规划内容7</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一期示范区、示范段布点规划：</w:t>
            </w:r>
            <w:r>
              <w:rPr>
                <w:rFonts w:hint="eastAsia" w:asciiTheme="minorEastAsia" w:hAnsiTheme="minorEastAsia"/>
                <w:sz w:val="24"/>
                <w:szCs w:val="24"/>
              </w:rPr>
              <w:t>投标人提出科学、合理、全面的布点规划方案。（应从如何布点、如何确定位置等方面出发进行阐述）</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11、</w:t>
            </w:r>
            <w:r>
              <w:rPr>
                <w:rFonts w:hint="eastAsia" w:asciiTheme="minorEastAsia" w:hAnsiTheme="minorEastAsia"/>
                <w:bCs/>
                <w:color w:val="000000" w:themeColor="text1"/>
                <w:sz w:val="24"/>
                <w:szCs w:val="24"/>
              </w:rPr>
              <w:t>规划内容8</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sz w:val="24"/>
                <w:szCs w:val="24"/>
              </w:rPr>
            </w:pPr>
            <w:r>
              <w:rPr>
                <w:rFonts w:hint="eastAsia" w:cs="宋体-方正超大字符集" w:asciiTheme="minorEastAsia" w:hAnsiTheme="minorEastAsia"/>
                <w:b/>
                <w:sz w:val="24"/>
                <w:szCs w:val="24"/>
              </w:rPr>
              <w:t>资源整合</w:t>
            </w:r>
            <w:r>
              <w:rPr>
                <w:rFonts w:hint="eastAsia" w:cs="宋体-方正超大字符集" w:asciiTheme="minorEastAsia" w:hAnsiTheme="minorEastAsia"/>
                <w:sz w:val="24"/>
                <w:szCs w:val="24"/>
              </w:rPr>
              <w:t>：根据投标人提出城市空间资源整合，优化导向标识系统类型、展示方式，节约空间、打造特色，造型设计、版面设计、材料应用、注重与环境的协调等方面的方案。</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12、</w:t>
            </w:r>
            <w:r>
              <w:rPr>
                <w:rFonts w:hint="eastAsia" w:asciiTheme="minorEastAsia" w:hAnsiTheme="minorEastAsia"/>
                <w:bCs/>
                <w:color w:val="000000" w:themeColor="text1"/>
                <w:sz w:val="24"/>
                <w:szCs w:val="24"/>
              </w:rPr>
              <w:t>规划内容9</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cs="宋体-方正超大字符集" w:asciiTheme="minorEastAsia" w:hAnsiTheme="minorEastAsia"/>
                <w:b/>
                <w:sz w:val="24"/>
                <w:szCs w:val="24"/>
              </w:rPr>
            </w:pPr>
            <w:r>
              <w:rPr>
                <w:rFonts w:hint="eastAsia" w:asciiTheme="minorEastAsia" w:hAnsiTheme="minorEastAsia"/>
                <w:b/>
                <w:sz w:val="24"/>
                <w:szCs w:val="24"/>
              </w:rPr>
              <w:t>规范标准：</w:t>
            </w:r>
            <w:r>
              <w:rPr>
                <w:rFonts w:hint="eastAsia" w:asciiTheme="minorEastAsia" w:hAnsiTheme="minorEastAsia"/>
                <w:sz w:val="24"/>
                <w:szCs w:val="24"/>
              </w:rPr>
              <w:t>根据投标人方案的版面文字、图形、翻译、支撑方式与杆件样式的具体研究思路进行完整、合理阐述，符合相关规范及标准要求程度。</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w:t>
            </w:r>
            <w:r>
              <w:rPr>
                <w:rFonts w:hint="eastAsia" w:cs="宋体-方正超大字符集" w:asciiTheme="minorEastAsia" w:hAnsiTheme="minorEastAsia"/>
                <w:color w:val="000000" w:themeColor="text1"/>
                <w:sz w:val="24"/>
                <w:szCs w:val="24"/>
              </w:rPr>
              <w:t>未提供者不得分</w:t>
            </w:r>
            <w:r>
              <w:rPr>
                <w:rFonts w:hint="eastAsia" w:cs="宋体-方正超大字符集"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13、</w:t>
            </w:r>
            <w:r>
              <w:rPr>
                <w:rFonts w:hint="eastAsia" w:asciiTheme="minorEastAsia" w:hAnsiTheme="minorEastAsia"/>
                <w:bCs/>
                <w:color w:val="000000" w:themeColor="text1"/>
                <w:sz w:val="24"/>
                <w:szCs w:val="24"/>
              </w:rPr>
              <w:t>规划内容10</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彰显特色：</w:t>
            </w:r>
            <w:r>
              <w:rPr>
                <w:rFonts w:hint="eastAsia" w:asciiTheme="minorEastAsia" w:hAnsiTheme="minorEastAsia"/>
                <w:sz w:val="24"/>
                <w:szCs w:val="24"/>
              </w:rPr>
              <w:t>根据投标人标识设计方案的特色及内涵进行阐述。由评委进行横向比较，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14、规划图纸1</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vAlign w:val="center"/>
          </w:tcPr>
          <w:p>
            <w:pPr>
              <w:snapToGrid w:val="0"/>
              <w:spacing w:line="360" w:lineRule="auto"/>
              <w:ind w:firstLine="504" w:firstLineChars="200"/>
              <w:rPr>
                <w:rFonts w:cs="仿宋_GB2312" w:asciiTheme="minorEastAsia" w:hAnsiTheme="minorEastAsia"/>
                <w:spacing w:val="6"/>
                <w:sz w:val="24"/>
                <w:szCs w:val="24"/>
              </w:rPr>
            </w:pPr>
            <w:r>
              <w:rPr>
                <w:rFonts w:hint="eastAsia" w:cs="仿宋_GB2312" w:asciiTheme="minorEastAsia" w:hAnsiTheme="minorEastAsia"/>
                <w:spacing w:val="6"/>
                <w:sz w:val="24"/>
                <w:szCs w:val="24"/>
              </w:rPr>
              <w:t>车行指路标识（含旅游标识）版面设计方案：投标人投标时提供3套方案及以上得3分，提供2套得2分，提供1套得1分，未提供者不得分。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15、</w:t>
            </w:r>
            <w:r>
              <w:rPr>
                <w:rFonts w:hint="eastAsia" w:asciiTheme="minorEastAsia" w:hAnsiTheme="minorEastAsia"/>
                <w:bCs/>
                <w:color w:val="000000" w:themeColor="text1"/>
                <w:sz w:val="24"/>
                <w:szCs w:val="24"/>
              </w:rPr>
              <w:t>规划图纸2</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2</w:t>
            </w:r>
          </w:p>
        </w:tc>
        <w:tc>
          <w:tcPr>
            <w:tcW w:w="6004" w:type="dxa"/>
            <w:vAlign w:val="center"/>
          </w:tcPr>
          <w:p>
            <w:pPr>
              <w:snapToGrid w:val="0"/>
              <w:spacing w:line="360" w:lineRule="auto"/>
              <w:rPr>
                <w:rFonts w:cs="仿宋_GB2312" w:asciiTheme="minorEastAsia" w:hAnsiTheme="minorEastAsia"/>
                <w:spacing w:val="6"/>
                <w:sz w:val="24"/>
                <w:szCs w:val="24"/>
              </w:rPr>
            </w:pPr>
            <w:r>
              <w:rPr>
                <w:rFonts w:hint="eastAsia" w:cs="仿宋_GB2312" w:asciiTheme="minorEastAsia" w:hAnsiTheme="minorEastAsia"/>
                <w:spacing w:val="6"/>
                <w:sz w:val="24"/>
                <w:szCs w:val="24"/>
              </w:rPr>
              <w:t>诱导标识版面设计：投标人投标时提供2套方案及以上得2分，提供1套得1分，未提供者不得分。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16、现场解说1</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vAlign w:val="center"/>
          </w:tcPr>
          <w:p>
            <w:pPr>
              <w:snapToGrid w:val="0"/>
              <w:spacing w:line="360" w:lineRule="auto"/>
              <w:ind w:firstLine="504" w:firstLineChars="200"/>
              <w:rPr>
                <w:rFonts w:cs="仿宋_GB2312" w:asciiTheme="minorEastAsia" w:hAnsiTheme="minorEastAsia"/>
                <w:spacing w:val="6"/>
                <w:sz w:val="24"/>
                <w:szCs w:val="24"/>
              </w:rPr>
            </w:pPr>
            <w:r>
              <w:rPr>
                <w:rFonts w:hint="eastAsia" w:cs="仿宋_GB2312" w:asciiTheme="minorEastAsia" w:hAnsiTheme="minorEastAsia"/>
                <w:spacing w:val="6"/>
                <w:sz w:val="24"/>
                <w:szCs w:val="24"/>
              </w:rPr>
              <w:t>投标人采用PPT解说方式针对自身曾完成过同类先进案例进行现场解说，根据解说情况评分。</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分，未进行解说者不得分。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17、现场解说2</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vAlign w:val="center"/>
          </w:tcPr>
          <w:p>
            <w:pPr>
              <w:snapToGrid w:val="0"/>
              <w:spacing w:line="360" w:lineRule="auto"/>
              <w:ind w:firstLine="504" w:firstLineChars="200"/>
              <w:rPr>
                <w:rFonts w:cs="仿宋_GB2312" w:asciiTheme="minorEastAsia" w:hAnsiTheme="minorEastAsia"/>
                <w:spacing w:val="6"/>
                <w:sz w:val="24"/>
                <w:szCs w:val="24"/>
              </w:rPr>
            </w:pPr>
            <w:r>
              <w:rPr>
                <w:rFonts w:hint="eastAsia" w:cs="仿宋_GB2312" w:asciiTheme="minorEastAsia" w:hAnsiTheme="minorEastAsia"/>
                <w:spacing w:val="6"/>
                <w:sz w:val="24"/>
                <w:szCs w:val="24"/>
              </w:rPr>
              <w:t>投标人采用PPT解说方式针对福州标识现状基本情况及现有问题进行现场解说，根据解说内容是否能合理解决现有问题等相关情况评分。</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分，未进行解说者不得分。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18、现场解说3</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vAlign w:val="center"/>
          </w:tcPr>
          <w:p>
            <w:pPr>
              <w:snapToGrid w:val="0"/>
              <w:spacing w:line="360" w:lineRule="auto"/>
              <w:ind w:firstLine="504" w:firstLineChars="200"/>
              <w:rPr>
                <w:rFonts w:cs="仿宋_GB2312" w:asciiTheme="minorEastAsia" w:hAnsiTheme="minorEastAsia"/>
                <w:spacing w:val="6"/>
                <w:sz w:val="24"/>
                <w:szCs w:val="24"/>
              </w:rPr>
            </w:pPr>
            <w:r>
              <w:rPr>
                <w:rFonts w:hint="eastAsia" w:cs="仿宋_GB2312" w:asciiTheme="minorEastAsia" w:hAnsiTheme="minorEastAsia"/>
                <w:spacing w:val="6"/>
                <w:sz w:val="24"/>
                <w:szCs w:val="24"/>
              </w:rPr>
              <w:t>投标人采用PPT解说方式为福州标识提供的总体方案进行现场解说，根据其方案内容是否综合考虑福州城市规划特点、是否能合理提升福州城市引导系统等情况评分。</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分，未进行解说者不得分。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19、现场解说4</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vAlign w:val="center"/>
          </w:tcPr>
          <w:p>
            <w:pPr>
              <w:snapToGrid w:val="0"/>
              <w:spacing w:line="360" w:lineRule="auto"/>
              <w:ind w:firstLine="504" w:firstLineChars="200"/>
              <w:rPr>
                <w:rFonts w:cs="仿宋_GB2312" w:asciiTheme="minorEastAsia" w:hAnsiTheme="minorEastAsia"/>
                <w:spacing w:val="6"/>
                <w:sz w:val="24"/>
                <w:szCs w:val="24"/>
              </w:rPr>
            </w:pPr>
            <w:r>
              <w:rPr>
                <w:rFonts w:hint="eastAsia" w:cs="仿宋_GB2312" w:asciiTheme="minorEastAsia" w:hAnsiTheme="minorEastAsia"/>
                <w:spacing w:val="6"/>
                <w:sz w:val="24"/>
                <w:szCs w:val="24"/>
              </w:rPr>
              <w:t>投标人采用PPT解说方式针对一期示范区、示范段的详细设计方案进行现场解说，根据汇报情况评分。</w:t>
            </w:r>
            <w:r>
              <w:rPr>
                <w:rFonts w:hint="eastAsia" w:cs="宋体-方正超大字符集" w:asciiTheme="minorEastAsia" w:hAnsiTheme="minorEastAsia"/>
                <w:color w:val="000000" w:themeColor="text1"/>
                <w:sz w:val="24"/>
                <w:szCs w:val="24"/>
              </w:rPr>
              <w:t>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分，未进行解说者不得分。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 w:val="24"/>
                <w:szCs w:val="24"/>
              </w:rPr>
              <w:t>20、项目视频概况</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投标人需制作不低于一分钟的视频短片，视频内容包含但不限于介绍项目相关概况及投标人设计理念等。根据视频短片内容是否符合彰显福州地域文化情况情况评分。由评委进行横向比较，</w:t>
            </w:r>
            <w:r>
              <w:rPr>
                <w:rFonts w:hint="eastAsia" w:cs="宋体-方正超大字符集" w:asciiTheme="minorEastAsia" w:hAnsiTheme="minorEastAsia"/>
                <w:sz w:val="24"/>
                <w:szCs w:val="24"/>
              </w:rPr>
              <w:t>优得3分，良得2分，一般得</w:t>
            </w:r>
            <w:r>
              <w:rPr>
                <w:rFonts w:cs="宋体-方正超大字符集" w:asciiTheme="minorEastAsia" w:hAnsiTheme="minorEastAsia"/>
                <w:sz w:val="24"/>
                <w:szCs w:val="24"/>
              </w:rPr>
              <w:t>1</w:t>
            </w:r>
            <w:r>
              <w:rPr>
                <w:rFonts w:hint="eastAsia" w:cs="宋体-方正超大字符集" w:asciiTheme="minorEastAsia" w:hAnsiTheme="minorEastAsia"/>
                <w:sz w:val="24"/>
                <w:szCs w:val="24"/>
              </w:rPr>
              <w:t>分，未提供者不得分。</w:t>
            </w:r>
          </w:p>
        </w:tc>
      </w:tr>
    </w:tbl>
    <w:p>
      <w:pPr>
        <w:widowControl/>
        <w:spacing w:before="100" w:beforeAutospacing="1" w:after="100" w:afterAutospacing="1"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商务项（</w:t>
      </w:r>
      <w:r>
        <w:rPr>
          <w:rFonts w:ascii="Calibri" w:hAnsi="Calibri" w:eastAsia="宋体" w:cs="宋体"/>
          <w:kern w:val="0"/>
          <w:sz w:val="24"/>
          <w:szCs w:val="24"/>
        </w:rPr>
        <w:t>F3</w:t>
      </w:r>
      <w:r>
        <w:rPr>
          <w:rFonts w:ascii="宋体" w:hAnsi="宋体" w:eastAsia="宋体" w:cs="宋体"/>
          <w:kern w:val="0"/>
          <w:sz w:val="24"/>
          <w:szCs w:val="24"/>
        </w:rPr>
        <w:t>×</w:t>
      </w:r>
      <w:r>
        <w:rPr>
          <w:rFonts w:ascii="Calibri" w:hAnsi="Calibri" w:eastAsia="宋体" w:cs="宋体"/>
          <w:kern w:val="0"/>
          <w:sz w:val="24"/>
          <w:szCs w:val="24"/>
        </w:rPr>
        <w:t>A3</w:t>
      </w:r>
      <w:r>
        <w:rPr>
          <w:rFonts w:ascii="宋体" w:hAnsi="宋体" w:eastAsia="宋体" w:cs="宋体"/>
          <w:kern w:val="0"/>
          <w:sz w:val="24"/>
          <w:szCs w:val="24"/>
        </w:rPr>
        <w:t>）满分为</w:t>
      </w:r>
      <w:r>
        <w:rPr>
          <w:rFonts w:ascii="宋体" w:hAnsi="宋体" w:eastAsia="宋体" w:cs="宋体"/>
          <w:kern w:val="0"/>
          <w:sz w:val="24"/>
          <w:szCs w:val="24"/>
          <w:u w:val="single"/>
        </w:rPr>
        <w:t>14</w:t>
      </w:r>
      <w:r>
        <w:rPr>
          <w:rFonts w:ascii="宋体" w:hAnsi="宋体" w:eastAsia="宋体" w:cs="宋体"/>
          <w:kern w:val="0"/>
          <w:sz w:val="24"/>
          <w:szCs w:val="24"/>
        </w:rPr>
        <w:t>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评标项目</w:t>
            </w:r>
          </w:p>
        </w:tc>
        <w:tc>
          <w:tcPr>
            <w:tcW w:w="1276" w:type="dxa"/>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评标分值</w:t>
            </w:r>
          </w:p>
        </w:tc>
        <w:tc>
          <w:tcPr>
            <w:tcW w:w="6004" w:type="dxa"/>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1、企业综合实力</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1</w:t>
            </w:r>
          </w:p>
        </w:tc>
        <w:tc>
          <w:tcPr>
            <w:tcW w:w="6004" w:type="dxa"/>
          </w:tcPr>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投标人具备城乡规划编制乙级（及以上）的得0.5分，具备风景园林工程设计专项乙级（及以上）的得0.5分，满分1分。</w:t>
            </w:r>
            <w:r>
              <w:rPr>
                <w:rFonts w:ascii="宋体" w:hAnsi="宋体" w:eastAsia="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2、企业</w:t>
            </w:r>
          </w:p>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业绩</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widowControl/>
              <w:spacing w:before="100" w:beforeAutospacing="1" w:after="100" w:afterAutospacing="1" w:line="360" w:lineRule="auto"/>
              <w:ind w:firstLine="504" w:firstLineChars="200"/>
              <w:jc w:val="left"/>
              <w:rPr>
                <w:rFonts w:ascii="宋体" w:hAnsi="宋体" w:eastAsia="宋体" w:cs="宋体"/>
                <w:kern w:val="0"/>
                <w:sz w:val="24"/>
                <w:szCs w:val="24"/>
              </w:rPr>
            </w:pPr>
            <w:r>
              <w:rPr>
                <w:rFonts w:hint="eastAsia" w:cs="仿宋_GB2312" w:asciiTheme="minorEastAsia" w:hAnsiTheme="minorEastAsia"/>
                <w:spacing w:val="6"/>
                <w:sz w:val="24"/>
                <w:szCs w:val="24"/>
              </w:rPr>
              <w:t>综合项目业绩：投标人提供2014年06月1日至今每提供1项</w:t>
            </w:r>
            <w:r>
              <w:rPr>
                <w:rFonts w:hint="eastAsia" w:cs="宋体" w:asciiTheme="minorEastAsia" w:hAnsiTheme="minorEastAsia"/>
                <w:kern w:val="0"/>
                <w:sz w:val="24"/>
                <w:szCs w:val="24"/>
              </w:rPr>
              <w:t>（以合同签订时间为准）</w:t>
            </w:r>
            <w:r>
              <w:rPr>
                <w:rFonts w:hint="eastAsia" w:cs="仿宋_GB2312" w:asciiTheme="minorEastAsia" w:hAnsiTheme="minorEastAsia"/>
                <w:spacing w:val="6"/>
                <w:sz w:val="24"/>
                <w:szCs w:val="24"/>
              </w:rPr>
              <w:t>签署过的城市导向系统或城市视觉识别系统的设计项目业绩的得1分，满分3分。</w:t>
            </w:r>
            <w:r>
              <w:rPr>
                <w:rFonts w:ascii="宋体" w:hAnsi="宋体" w:cs="宋体"/>
                <w:kern w:val="0"/>
                <w:sz w:val="24"/>
                <w:szCs w:val="24"/>
              </w:rPr>
              <w:t>【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3、企业</w:t>
            </w:r>
          </w:p>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案例</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类似项目案例（本项与“企业业绩”不重复得分）：投标人提供2014年06月01日至今（以合同签订时间为准）签署过的包含导向系统的景观设计、城市家具等城市视觉要素规划设计合同，每个合同计0.5分。满分3分。（必须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4、企业</w:t>
            </w:r>
          </w:p>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荣誉</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3</w:t>
            </w:r>
          </w:p>
        </w:tc>
        <w:tc>
          <w:tcPr>
            <w:tcW w:w="6004" w:type="dxa"/>
          </w:tcPr>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投标人的城市导向系统或城市视觉识别系统、每获得市级及以上或国内行业组织颁发的奖项，每提供一个得1分。满分3分。（须提供证书复印件加盖投标人公章）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5、设计</w:t>
            </w:r>
          </w:p>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团队1</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2</w:t>
            </w:r>
          </w:p>
        </w:tc>
        <w:tc>
          <w:tcPr>
            <w:tcW w:w="6004" w:type="dxa"/>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 w:val="24"/>
                <w:szCs w:val="24"/>
              </w:rPr>
              <w:t>在团队配备2名中级工程师的基础条件之上，每多提供一名国家注册城乡规划师或城市交通专业、视觉设计、景观设计专业（三个专业之一）高级工程师的得1分。满分2分。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6、设计</w:t>
            </w:r>
          </w:p>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团队2</w:t>
            </w:r>
          </w:p>
        </w:tc>
        <w:tc>
          <w:tcPr>
            <w:tcW w:w="1276" w:type="dxa"/>
            <w:vAlign w:val="center"/>
          </w:tcPr>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2</w:t>
            </w:r>
          </w:p>
        </w:tc>
        <w:tc>
          <w:tcPr>
            <w:tcW w:w="6004" w:type="dxa"/>
          </w:tcPr>
          <w:p>
            <w:pPr>
              <w:widowControl/>
              <w:spacing w:before="100" w:beforeAutospacing="1" w:after="100" w:afterAutospacing="1" w:line="360" w:lineRule="auto"/>
              <w:jc w:val="left"/>
              <w:rPr>
                <w:rFonts w:ascii="宋体" w:hAnsi="宋体" w:eastAsia="宋体" w:cs="宋体"/>
                <w:color w:val="FF0000"/>
                <w:kern w:val="0"/>
                <w:sz w:val="24"/>
                <w:szCs w:val="24"/>
              </w:rPr>
            </w:pPr>
            <w:r>
              <w:rPr>
                <w:rFonts w:hint="eastAsia" w:ascii="宋体" w:hAnsi="宋体" w:eastAsia="宋体" w:cs="宋体"/>
                <w:kern w:val="0"/>
                <w:sz w:val="24"/>
                <w:szCs w:val="24"/>
              </w:rPr>
              <w:t>在团队配备2名中级工程师的基础条件之上，每多提供一名城市交通专业、视觉设计、景观设计专业（三个专业之一）中级工程师得0.5分。满分2分。</w:t>
            </w:r>
          </w:p>
        </w:tc>
      </w:tr>
    </w:tbl>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加分项（</w:t>
      </w:r>
      <w:r>
        <w:rPr>
          <w:rFonts w:ascii="Calibri" w:hAnsi="Calibri" w:eastAsia="宋体" w:cs="宋体"/>
          <w:kern w:val="0"/>
          <w:sz w:val="24"/>
          <w:szCs w:val="24"/>
        </w:rPr>
        <w:t>F4</w:t>
      </w:r>
      <w:r>
        <w:rPr>
          <w:rFonts w:ascii="宋体" w:hAnsi="宋体" w:eastAsia="宋体" w:cs="宋体"/>
          <w:kern w:val="0"/>
          <w:sz w:val="24"/>
          <w:szCs w:val="24"/>
        </w:rPr>
        <w:t>×</w:t>
      </w:r>
      <w:r>
        <w:rPr>
          <w:rFonts w:ascii="Calibri" w:hAnsi="Calibri" w:eastAsia="宋体" w:cs="宋体"/>
          <w:kern w:val="0"/>
          <w:sz w:val="24"/>
          <w:szCs w:val="24"/>
        </w:rPr>
        <w:t>A4</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a.优先类节能产品、环境标志产品：</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a1若同一合同包内节能、环境标志产品报价总金额低于该合同包报价总金额</w:t>
      </w:r>
      <w:r>
        <w:rPr>
          <w:rFonts w:ascii="Calibri" w:hAnsi="Calibri" w:eastAsia="宋体" w:cs="宋体"/>
          <w:kern w:val="0"/>
          <w:sz w:val="24"/>
          <w:szCs w:val="24"/>
        </w:rPr>
        <w:t>20%</w:t>
      </w:r>
      <w:r>
        <w:rPr>
          <w:rFonts w:ascii="宋体" w:hAnsi="宋体" w:eastAsia="宋体" w:cs="宋体"/>
          <w:kern w:val="0"/>
          <w:sz w:val="24"/>
          <w:szCs w:val="24"/>
        </w:rPr>
        <w:t>（含</w:t>
      </w:r>
      <w:r>
        <w:rPr>
          <w:rFonts w:ascii="Calibri" w:hAnsi="Calibri" w:eastAsia="宋体" w:cs="宋体"/>
          <w:kern w:val="0"/>
          <w:sz w:val="24"/>
          <w:szCs w:val="24"/>
        </w:rPr>
        <w:t>20%</w:t>
      </w:r>
      <w:r>
        <w:rPr>
          <w:rFonts w:ascii="宋体" w:hAnsi="宋体" w:eastAsia="宋体" w:cs="宋体"/>
          <w:kern w:val="0"/>
          <w:sz w:val="24"/>
          <w:szCs w:val="24"/>
        </w:rPr>
        <w:t>）以下，将分别给予节能、环境标志产品价格项（</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，按照满分计）和技术项（</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，按照满分计）</w:t>
      </w:r>
      <w:r>
        <w:rPr>
          <w:rFonts w:ascii="Calibri" w:hAnsi="Calibri" w:eastAsia="宋体" w:cs="宋体"/>
          <w:kern w:val="0"/>
          <w:sz w:val="24"/>
          <w:szCs w:val="24"/>
        </w:rPr>
        <w:t>4%</w:t>
      </w:r>
      <w:r>
        <w:rPr>
          <w:rFonts w:ascii="宋体" w:hAnsi="宋体" w:eastAsia="宋体" w:cs="宋体"/>
          <w:kern w:val="0"/>
          <w:sz w:val="24"/>
          <w:szCs w:val="24"/>
        </w:rPr>
        <w:t>的加分；若同一合同包内节能、环境标志产品报价总金额占该合同包报价总金额</w:t>
      </w:r>
      <w:r>
        <w:rPr>
          <w:rFonts w:ascii="Calibri" w:hAnsi="Calibri" w:eastAsia="宋体" w:cs="宋体"/>
          <w:kern w:val="0"/>
          <w:sz w:val="24"/>
          <w:szCs w:val="24"/>
        </w:rPr>
        <w:t>20%-50%</w:t>
      </w:r>
      <w:r>
        <w:rPr>
          <w:rFonts w:ascii="宋体" w:hAnsi="宋体" w:eastAsia="宋体" w:cs="宋体"/>
          <w:kern w:val="0"/>
          <w:sz w:val="24"/>
          <w:szCs w:val="24"/>
        </w:rPr>
        <w:t>（含</w:t>
      </w:r>
      <w:r>
        <w:rPr>
          <w:rFonts w:ascii="Calibri" w:hAnsi="Calibri" w:eastAsia="宋体" w:cs="宋体"/>
          <w:kern w:val="0"/>
          <w:sz w:val="24"/>
          <w:szCs w:val="24"/>
        </w:rPr>
        <w:t>50%</w:t>
      </w:r>
      <w:r>
        <w:rPr>
          <w:rFonts w:ascii="宋体" w:hAnsi="宋体" w:eastAsia="宋体" w:cs="宋体"/>
          <w:kern w:val="0"/>
          <w:sz w:val="24"/>
          <w:szCs w:val="24"/>
        </w:rPr>
        <w:t>），将分别给予节能、环境标志产品价格项（</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，按照满分计）和技术项（</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，按照满分计）</w:t>
      </w:r>
      <w:r>
        <w:rPr>
          <w:rFonts w:ascii="Calibri" w:hAnsi="Calibri" w:eastAsia="宋体" w:cs="宋体"/>
          <w:kern w:val="0"/>
          <w:sz w:val="24"/>
          <w:szCs w:val="24"/>
        </w:rPr>
        <w:t>6%</w:t>
      </w:r>
      <w:r>
        <w:rPr>
          <w:rFonts w:ascii="宋体" w:hAnsi="宋体" w:eastAsia="宋体" w:cs="宋体"/>
          <w:kern w:val="0"/>
          <w:sz w:val="24"/>
          <w:szCs w:val="24"/>
        </w:rPr>
        <w:t>的加分；若同一合同包内节能、环境标志产品报价总金额占该合同包报价总金额</w:t>
      </w:r>
      <w:r>
        <w:rPr>
          <w:rFonts w:ascii="Calibri" w:hAnsi="Calibri" w:eastAsia="宋体" w:cs="宋体"/>
          <w:kern w:val="0"/>
          <w:sz w:val="24"/>
          <w:szCs w:val="24"/>
        </w:rPr>
        <w:t>50%</w:t>
      </w:r>
      <w:r>
        <w:rPr>
          <w:rFonts w:ascii="宋体" w:hAnsi="宋体" w:eastAsia="宋体" w:cs="宋体"/>
          <w:kern w:val="0"/>
          <w:sz w:val="24"/>
          <w:szCs w:val="24"/>
        </w:rPr>
        <w:t>以上的，将分别给予节能、环境标志产品价格项（</w:t>
      </w:r>
      <w:r>
        <w:rPr>
          <w:rFonts w:ascii="Calibri" w:hAnsi="Calibri" w:eastAsia="宋体" w:cs="宋体"/>
          <w:kern w:val="0"/>
          <w:sz w:val="24"/>
          <w:szCs w:val="24"/>
        </w:rPr>
        <w:t>F1</w:t>
      </w:r>
      <w:r>
        <w:rPr>
          <w:rFonts w:ascii="宋体" w:hAnsi="宋体" w:eastAsia="宋体" w:cs="宋体"/>
          <w:kern w:val="0"/>
          <w:sz w:val="24"/>
          <w:szCs w:val="24"/>
        </w:rPr>
        <w:t>×</w:t>
      </w:r>
      <w:r>
        <w:rPr>
          <w:rFonts w:ascii="Calibri" w:hAnsi="Calibri" w:eastAsia="宋体" w:cs="宋体"/>
          <w:kern w:val="0"/>
          <w:sz w:val="24"/>
          <w:szCs w:val="24"/>
        </w:rPr>
        <w:t>A1</w:t>
      </w:r>
      <w:r>
        <w:rPr>
          <w:rFonts w:ascii="宋体" w:hAnsi="宋体" w:eastAsia="宋体" w:cs="宋体"/>
          <w:kern w:val="0"/>
          <w:sz w:val="24"/>
          <w:szCs w:val="24"/>
        </w:rPr>
        <w:t>，按照满分计）和技术项（</w:t>
      </w:r>
      <w:r>
        <w:rPr>
          <w:rFonts w:ascii="Calibri" w:hAnsi="Calibri" w:eastAsia="宋体" w:cs="宋体"/>
          <w:kern w:val="0"/>
          <w:sz w:val="24"/>
          <w:szCs w:val="24"/>
        </w:rPr>
        <w:t>F2</w:t>
      </w:r>
      <w:r>
        <w:rPr>
          <w:rFonts w:ascii="宋体" w:hAnsi="宋体" w:eastAsia="宋体" w:cs="宋体"/>
          <w:kern w:val="0"/>
          <w:sz w:val="24"/>
          <w:szCs w:val="24"/>
        </w:rPr>
        <w:t>×</w:t>
      </w:r>
      <w:r>
        <w:rPr>
          <w:rFonts w:ascii="Calibri" w:hAnsi="Calibri" w:eastAsia="宋体" w:cs="宋体"/>
          <w:kern w:val="0"/>
          <w:sz w:val="24"/>
          <w:szCs w:val="24"/>
        </w:rPr>
        <w:t>A2</w:t>
      </w:r>
      <w:r>
        <w:rPr>
          <w:rFonts w:ascii="宋体" w:hAnsi="宋体" w:eastAsia="宋体" w:cs="宋体"/>
          <w:kern w:val="0"/>
          <w:sz w:val="24"/>
          <w:szCs w:val="24"/>
        </w:rPr>
        <w:t>，按照满分计）</w:t>
      </w:r>
      <w:r>
        <w:rPr>
          <w:rFonts w:ascii="Calibri" w:hAnsi="Calibri" w:eastAsia="宋体" w:cs="宋体"/>
          <w:kern w:val="0"/>
          <w:sz w:val="24"/>
          <w:szCs w:val="24"/>
        </w:rPr>
        <w:t>8%</w:t>
      </w:r>
      <w:r>
        <w:rPr>
          <w:rFonts w:ascii="宋体" w:hAnsi="宋体" w:eastAsia="宋体" w:cs="宋体"/>
          <w:kern w:val="0"/>
          <w:sz w:val="24"/>
          <w:szCs w:val="24"/>
        </w:rPr>
        <w:t>的加分。</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 xml:space="preserve">（4）中标候选人排列规则顺序如下：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a.按照评标总得分（</w:t>
      </w:r>
      <w:r>
        <w:rPr>
          <w:rFonts w:ascii="Calibri" w:hAnsi="Calibri" w:eastAsia="宋体" w:cs="宋体"/>
          <w:kern w:val="0"/>
          <w:sz w:val="24"/>
          <w:szCs w:val="24"/>
        </w:rPr>
        <w:t>FA</w:t>
      </w:r>
      <w:r>
        <w:rPr>
          <w:rFonts w:ascii="宋体" w:hAnsi="宋体" w:eastAsia="宋体" w:cs="宋体"/>
          <w:kern w:val="0"/>
          <w:sz w:val="24"/>
          <w:szCs w:val="24"/>
        </w:rPr>
        <w:t>）由高到低顺序排列。</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b.评标总得分（</w:t>
      </w:r>
      <w:r>
        <w:rPr>
          <w:rFonts w:ascii="Calibri" w:hAnsi="Calibri" w:eastAsia="宋体" w:cs="宋体"/>
          <w:kern w:val="0"/>
          <w:sz w:val="24"/>
          <w:szCs w:val="24"/>
        </w:rPr>
        <w:t>FA</w:t>
      </w:r>
      <w:r>
        <w:rPr>
          <w:rFonts w:ascii="宋体" w:hAnsi="宋体" w:eastAsia="宋体" w:cs="宋体"/>
          <w:kern w:val="0"/>
          <w:sz w:val="24"/>
          <w:szCs w:val="24"/>
        </w:rPr>
        <w:t xml:space="preserve">）相同的，按照评标价（即价格扣除后的投标报价）由低到高顺序排列。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c.评标总得分（</w:t>
      </w:r>
      <w:r>
        <w:rPr>
          <w:rFonts w:ascii="Calibri" w:hAnsi="Calibri" w:eastAsia="宋体" w:cs="宋体"/>
          <w:kern w:val="0"/>
          <w:sz w:val="24"/>
          <w:szCs w:val="24"/>
        </w:rPr>
        <w:t>FA</w:t>
      </w:r>
      <w:r>
        <w:rPr>
          <w:rFonts w:ascii="宋体" w:hAnsi="宋体" w:eastAsia="宋体" w:cs="宋体"/>
          <w:kern w:val="0"/>
          <w:sz w:val="24"/>
          <w:szCs w:val="24"/>
        </w:rPr>
        <w:t xml:space="preserve">）且评标价（即价格扣除后的投标报价）相同的并列。 </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8、其他规定</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8.1评标应全程保密且不得透露给任一投标人或与评标工作无关的人员。</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8.2评标将进行全程实时录音录像，录音录像资料随采购文件一并存档。</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8.3若投标人有任何试图干扰具体评标事务，影响评标委员会独立履行职责的行为，其投标无效且不予退还投标保证金。情节严重的，由财政部门列入不良行为记录。</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8.4其他：无。</w:t>
      </w:r>
    </w:p>
    <w:p>
      <w:pPr>
        <w:widowControl/>
        <w:spacing w:before="75" w:after="75" w:line="360" w:lineRule="auto"/>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hint="eastAsia" w:ascii="宋体" w:hAnsi="宋体" w:eastAsia="宋体" w:cs="宋体"/>
          <w:b/>
          <w:bCs/>
          <w:kern w:val="0"/>
          <w:sz w:val="32"/>
        </w:rPr>
      </w:pPr>
      <w:r>
        <w:rPr>
          <w:rFonts w:hint="eastAsia" w:ascii="宋体" w:hAnsi="宋体" w:eastAsia="宋体" w:cs="宋体"/>
          <w:b/>
          <w:bCs/>
          <w:kern w:val="0"/>
          <w:sz w:val="32"/>
        </w:rPr>
        <w:br w:type="page"/>
      </w:r>
    </w:p>
    <w:p>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32"/>
        </w:rPr>
        <w:t>第五章   招标内容及要求</w:t>
      </w:r>
    </w:p>
    <w:p>
      <w:pPr>
        <w:widowControl/>
        <w:spacing w:before="75" w:after="75" w:line="360" w:lineRule="auto"/>
        <w:jc w:val="left"/>
        <w:outlineLvl w:val="0"/>
        <w:rPr>
          <w:rFonts w:ascii="宋体" w:hAnsi="宋体" w:eastAsia="宋体" w:cs="宋体"/>
          <w:kern w:val="0"/>
          <w:sz w:val="24"/>
          <w:szCs w:val="24"/>
        </w:rPr>
      </w:pPr>
      <w:r>
        <w:rPr>
          <w:rFonts w:ascii="宋体" w:hAnsi="宋体" w:eastAsia="宋体" w:cs="宋体"/>
          <w:kern w:val="0"/>
          <w:sz w:val="24"/>
          <w:szCs w:val="24"/>
        </w:rPr>
        <w:t>一、项目概况（采购标的）</w:t>
      </w:r>
    </w:p>
    <w:p>
      <w:pPr>
        <w:widowControl/>
        <w:spacing w:before="75" w:after="75" w:line="360" w:lineRule="auto"/>
        <w:ind w:firstLine="480" w:firstLineChars="200"/>
        <w:jc w:val="left"/>
        <w:rPr>
          <w:rFonts w:ascii="宋体" w:hAnsi="宋体" w:eastAsia="宋体" w:cs="宋体"/>
          <w:kern w:val="0"/>
          <w:sz w:val="24"/>
          <w:szCs w:val="24"/>
        </w:rPr>
      </w:pPr>
      <w:r>
        <w:rPr>
          <w:rFonts w:hint="eastAsia" w:ascii="宋体" w:hAnsi="宋体" w:cs="宋体"/>
          <w:sz w:val="24"/>
          <w:szCs w:val="24"/>
        </w:rPr>
        <w:t>根据市政府工作部署，为充分发挥福州市作为省会城市形象带头示范作用，完善城市标识引导系统，开展福州市城市标识系统规划工作。以“综合考虑各类标识，软件硬件系统提升，力求高标准、精准精确、简洁靓丽并彰显福州地域文化”为要求，坚持以人为本，综合运用整体系统、规范有序、精准精确理念，高起点、高标准、高质量打造牢固美观、特色元素、文化品位、彰显个性、简捷便利的城市标识引导系统。对五城区标识引导系统进行综合改造、全面提升，形成布局合理、主次分明、体现福州地域特色的城市标识引导系统。</w:t>
      </w:r>
    </w:p>
    <w:p>
      <w:pPr>
        <w:widowControl/>
        <w:spacing w:before="75" w:after="75" w:line="360" w:lineRule="auto"/>
        <w:jc w:val="left"/>
        <w:outlineLvl w:val="0"/>
        <w:rPr>
          <w:rFonts w:hint="eastAsia" w:ascii="宋体" w:hAnsi="宋体" w:eastAsia="宋体" w:cs="宋体"/>
          <w:b/>
          <w:bCs/>
          <w:kern w:val="0"/>
          <w:sz w:val="24"/>
          <w:szCs w:val="24"/>
        </w:rPr>
      </w:pPr>
      <w:r>
        <w:rPr>
          <w:rFonts w:ascii="宋体" w:hAnsi="宋体" w:eastAsia="宋体" w:cs="宋体"/>
          <w:kern w:val="0"/>
          <w:sz w:val="24"/>
          <w:szCs w:val="24"/>
        </w:rPr>
        <w:t>二、技术和服务要求</w:t>
      </w:r>
      <w:r>
        <w:rPr>
          <w:rFonts w:ascii="宋体" w:hAnsi="宋体" w:eastAsia="宋体" w:cs="宋体"/>
          <w:b/>
          <w:bCs/>
          <w:kern w:val="0"/>
          <w:sz w:val="24"/>
          <w:szCs w:val="24"/>
        </w:rPr>
        <w:t>（以“</w:t>
      </w:r>
      <w:r>
        <w:rPr>
          <w:rFonts w:hint="eastAsia" w:ascii="宋体" w:hAnsi="宋体" w:eastAsia="宋体" w:cs="宋体"/>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（一）规划范围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本规划范围为福州市主城区建成面积</w:t>
      </w:r>
      <w:r>
        <w:rPr>
          <w:rFonts w:ascii="宋体" w:hAnsi="宋体" w:cs="宋体"/>
          <w:sz w:val="24"/>
          <w:szCs w:val="24"/>
        </w:rPr>
        <w:t>约</w:t>
      </w:r>
      <w:r>
        <w:rPr>
          <w:rFonts w:hint="eastAsia" w:ascii="宋体" w:hAnsi="宋体" w:cs="宋体"/>
          <w:sz w:val="24"/>
          <w:szCs w:val="24"/>
        </w:rPr>
        <w:t>2</w:t>
      </w:r>
      <w:r>
        <w:rPr>
          <w:rFonts w:ascii="宋体" w:hAnsi="宋体" w:cs="宋体"/>
          <w:sz w:val="24"/>
          <w:szCs w:val="24"/>
        </w:rPr>
        <w:t>70</w:t>
      </w:r>
      <w:r>
        <w:rPr>
          <w:rFonts w:hint="eastAsia" w:ascii="宋体" w:hAnsi="宋体" w:cs="宋体"/>
          <w:sz w:val="24"/>
          <w:szCs w:val="24"/>
        </w:rPr>
        <w:t>平方公里，含鼓楼</w:t>
      </w:r>
      <w:r>
        <w:rPr>
          <w:rFonts w:ascii="宋体" w:hAnsi="宋体" w:cs="宋体"/>
          <w:sz w:val="24"/>
          <w:szCs w:val="24"/>
        </w:rPr>
        <w:t>、台江、仓山、晋安</w:t>
      </w:r>
      <w:r>
        <w:rPr>
          <w:rFonts w:hint="eastAsia" w:ascii="宋体" w:hAnsi="宋体" w:cs="宋体"/>
          <w:sz w:val="24"/>
          <w:szCs w:val="24"/>
        </w:rPr>
        <w:t>、</w:t>
      </w:r>
      <w:r>
        <w:rPr>
          <w:rFonts w:ascii="宋体" w:hAnsi="宋体" w:cs="宋体"/>
          <w:sz w:val="24"/>
          <w:szCs w:val="24"/>
        </w:rPr>
        <w:t>马尾五城区。</w:t>
      </w:r>
    </w:p>
    <w:p>
      <w:pPr>
        <w:widowControl/>
        <w:spacing w:before="75" w:after="75" w:line="360" w:lineRule="auto"/>
        <w:ind w:firstLine="482" w:firstLineChars="200"/>
        <w:jc w:val="left"/>
        <w:outlineLvl w:val="0"/>
        <w:rPr>
          <w:rFonts w:ascii="宋体" w:hAnsi="宋体" w:cs="宋体"/>
          <w:sz w:val="24"/>
          <w:szCs w:val="24"/>
        </w:rPr>
      </w:pPr>
      <w:r>
        <w:rPr>
          <w:rFonts w:hint="eastAsia" w:ascii="宋体" w:hAnsi="宋体" w:cs="宋体"/>
          <w:b/>
          <w:sz w:val="24"/>
          <w:szCs w:val="24"/>
        </w:rPr>
        <w:t>重点区域：</w:t>
      </w:r>
      <w:r>
        <w:rPr>
          <w:rFonts w:hint="eastAsia" w:ascii="宋体" w:hAnsi="宋体" w:cs="宋体"/>
          <w:sz w:val="24"/>
          <w:szCs w:val="24"/>
        </w:rPr>
        <w:t>1.华林路-五一五四路-上三路、三高路-白马路围合区域；</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2.森林公园、儿童公园和动物园周边区域；</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3.会展岛（含濂水路）</w:t>
      </w:r>
    </w:p>
    <w:p>
      <w:pPr>
        <w:widowControl/>
        <w:spacing w:before="75" w:after="75" w:line="360" w:lineRule="auto"/>
        <w:ind w:firstLine="482" w:firstLineChars="200"/>
        <w:jc w:val="left"/>
        <w:outlineLvl w:val="0"/>
        <w:rPr>
          <w:rFonts w:ascii="宋体" w:hAnsi="宋体" w:cs="宋体"/>
          <w:sz w:val="24"/>
          <w:szCs w:val="24"/>
        </w:rPr>
      </w:pPr>
      <w:r>
        <w:rPr>
          <w:rFonts w:hint="eastAsia" w:ascii="宋体" w:hAnsi="宋体" w:cs="宋体"/>
          <w:b/>
          <w:sz w:val="24"/>
          <w:szCs w:val="24"/>
        </w:rPr>
        <w:t>重点线路：</w:t>
      </w:r>
      <w:r>
        <w:rPr>
          <w:rFonts w:hint="eastAsia" w:ascii="宋体" w:hAnsi="宋体" w:cs="宋体"/>
          <w:sz w:val="24"/>
          <w:szCs w:val="24"/>
        </w:rPr>
        <w:t>1.高速：机场高速、绕城高速（贵新隧道-永丰互通）</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2.快速路：三环路</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3.快速路联接线：五四北路、远洋-国货路、福湾路、妙峰-杨桥路</w:t>
      </w:r>
    </w:p>
    <w:p>
      <w:pPr>
        <w:widowControl/>
        <w:spacing w:before="75" w:after="75" w:line="360" w:lineRule="auto"/>
        <w:ind w:firstLine="482" w:firstLineChars="200"/>
        <w:jc w:val="left"/>
        <w:outlineLvl w:val="0"/>
        <w:rPr>
          <w:rFonts w:ascii="宋体" w:hAnsi="宋体" w:cs="宋体"/>
          <w:sz w:val="24"/>
          <w:szCs w:val="24"/>
        </w:rPr>
      </w:pPr>
      <w:r>
        <w:rPr>
          <w:rFonts w:hint="eastAsia" w:ascii="宋体" w:hAnsi="宋体" w:cs="宋体"/>
          <w:b/>
          <w:sz w:val="24"/>
          <w:szCs w:val="24"/>
        </w:rPr>
        <w:t>片区内干道：</w:t>
      </w:r>
      <w:r>
        <w:rPr>
          <w:rFonts w:hint="eastAsia" w:ascii="宋体" w:hAnsi="宋体" w:cs="宋体"/>
          <w:sz w:val="24"/>
          <w:szCs w:val="24"/>
        </w:rPr>
        <w:t>华林路、杨桥路-东街、乌山-古田路、国货路、南江滨路（鳌峰大桥至乌龙江大桥段）、八一七中轴线、白马路、五一、五四路</w:t>
      </w:r>
    </w:p>
    <w:p>
      <w:pPr>
        <w:widowControl/>
        <w:spacing w:before="75" w:after="75" w:line="360" w:lineRule="auto"/>
        <w:ind w:firstLine="482" w:firstLineChars="200"/>
        <w:jc w:val="left"/>
        <w:outlineLvl w:val="0"/>
        <w:rPr>
          <w:rFonts w:ascii="宋体" w:hAnsi="宋体" w:cs="宋体"/>
          <w:sz w:val="24"/>
          <w:szCs w:val="24"/>
        </w:rPr>
      </w:pPr>
      <w:r>
        <w:rPr>
          <w:rFonts w:hint="eastAsia" w:ascii="宋体" w:hAnsi="宋体" w:cs="宋体"/>
          <w:b/>
          <w:sz w:val="24"/>
          <w:szCs w:val="24"/>
        </w:rPr>
        <w:t>一期示范区：</w:t>
      </w:r>
      <w:r>
        <w:rPr>
          <w:rFonts w:hint="eastAsia" w:ascii="宋体" w:hAnsi="宋体" w:cs="宋体"/>
          <w:sz w:val="24"/>
          <w:szCs w:val="24"/>
        </w:rPr>
        <w:t>湖东路-白马路-乌山、古田路-五一、五四路围合区域；会展岛（含濂水路）</w:t>
      </w:r>
    </w:p>
    <w:p>
      <w:pPr>
        <w:widowControl/>
        <w:spacing w:before="75" w:after="75" w:line="360" w:lineRule="auto"/>
        <w:ind w:firstLine="482" w:firstLineChars="200"/>
        <w:jc w:val="left"/>
        <w:outlineLvl w:val="0"/>
        <w:rPr>
          <w:rFonts w:ascii="宋体" w:hAnsi="宋体" w:cs="宋体"/>
          <w:sz w:val="24"/>
          <w:szCs w:val="24"/>
        </w:rPr>
      </w:pPr>
      <w:r>
        <w:rPr>
          <w:rFonts w:hint="eastAsia" w:ascii="宋体" w:hAnsi="宋体" w:cs="宋体"/>
          <w:b/>
          <w:sz w:val="24"/>
          <w:szCs w:val="24"/>
        </w:rPr>
        <w:t>一期示范段：</w:t>
      </w:r>
      <w:r>
        <w:rPr>
          <w:rFonts w:hint="eastAsia" w:ascii="宋体" w:hAnsi="宋体" w:cs="宋体"/>
          <w:sz w:val="24"/>
          <w:szCs w:val="24"/>
        </w:rPr>
        <w:t>八一七中轴线（鼓屏、八一七路）</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（二）规划编制依据及参考资料</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（1）《中华人民共和国城乡规划法》（2008年）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（2）《福建省实施〈中华人民共和国城乡规划法〉办法》（2011年）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（3）《城市规划编制办法》（2006年）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（4）《福建省城市设计导则（试行）》（2013年）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（5）《福建省城市规划管理技术规定》（2017年）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（6）《福州市城市规划管理技术规定》（2016年）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（7）《福州市城市总体规划（2011-2020年）》（2011年）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（8）《福州市中心城区城市色彩规划》（2013年）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（9）《福州市建筑景观导则》</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（10）城市规划及其他市政、园林、景观等相关规范</w:t>
      </w:r>
    </w:p>
    <w:p>
      <w:pPr>
        <w:widowControl/>
        <w:numPr>
          <w:ilvl w:val="0"/>
          <w:numId w:val="1"/>
        </w:numPr>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方案设计要点</w:t>
      </w:r>
    </w:p>
    <w:p>
      <w:pPr>
        <w:widowControl/>
        <w:spacing w:before="75" w:after="75" w:line="360" w:lineRule="auto"/>
        <w:ind w:firstLine="480" w:firstLineChars="200"/>
        <w:jc w:val="left"/>
        <w:outlineLvl w:val="0"/>
        <w:rPr>
          <w:rFonts w:ascii="宋体" w:hAnsi="宋体" w:cs="宋体"/>
          <w:b/>
          <w:sz w:val="24"/>
          <w:szCs w:val="24"/>
        </w:rPr>
      </w:pPr>
      <w:r>
        <w:rPr>
          <w:rFonts w:hint="eastAsia" w:ascii="宋体" w:hAnsi="宋体" w:cs="宋体"/>
          <w:sz w:val="24"/>
          <w:szCs w:val="24"/>
        </w:rPr>
        <w:t>本项目所指标识引导系统指车行引导系统、人行引导系统、停车引导系统。围绕福州市城市发展目标，</w:t>
      </w:r>
      <w:r>
        <w:rPr>
          <w:rFonts w:hint="eastAsia" w:ascii="宋体" w:hAnsi="宋体" w:cs="宋体"/>
          <w:color w:val="000000" w:themeColor="text1"/>
          <w:sz w:val="24"/>
          <w:szCs w:val="24"/>
        </w:rPr>
        <w:t>计划2019年至2020年</w:t>
      </w:r>
      <w:r>
        <w:rPr>
          <w:rFonts w:hint="eastAsia" w:ascii="宋体" w:hAnsi="宋体" w:cs="宋体"/>
          <w:sz w:val="24"/>
          <w:szCs w:val="24"/>
        </w:rPr>
        <w:t>，在已有城市标识系统的基础上，对城市主要进出城通道及快速路出入口沿线，城市交通枢纽、地铁站点、大型公建、历史街区及历史风貌区、重要医院、省市政府及集中办公区、大型景区及重要公园等周边区域进行标识系统的规划、提升，形成识别性强、指引清晰、层次分明、美观大方的城市标识系统。彰显福州历史文化名城特色，助推福州城市建设品质提升。</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（四）内容及要求</w:t>
      </w:r>
    </w:p>
    <w:p>
      <w:pPr>
        <w:widowControl/>
        <w:spacing w:before="75" w:after="75" w:line="360" w:lineRule="auto"/>
        <w:ind w:firstLine="480" w:firstLineChars="200"/>
        <w:jc w:val="left"/>
        <w:outlineLvl w:val="0"/>
        <w:rPr>
          <w:rFonts w:ascii="宋体" w:hAnsi="宋体" w:cs="宋体"/>
          <w:b/>
          <w:bCs/>
          <w:kern w:val="0"/>
          <w:sz w:val="24"/>
          <w:szCs w:val="24"/>
        </w:rPr>
      </w:pPr>
      <w:r>
        <w:rPr>
          <w:rFonts w:hint="eastAsia" w:ascii="宋体" w:hAnsi="宋体" w:cs="宋体"/>
          <w:sz w:val="24"/>
          <w:szCs w:val="24"/>
        </w:rPr>
        <w:t>本项目分两个阶段。第一阶段（招标阶段）：以完成概念性方案为主，需提供（1）福州市</w:t>
      </w:r>
      <w:r>
        <w:rPr>
          <w:rFonts w:ascii="宋体" w:hAnsi="宋体" w:cs="宋体"/>
          <w:sz w:val="24"/>
          <w:szCs w:val="24"/>
        </w:rPr>
        <w:t>城市标识系统总体规划</w:t>
      </w:r>
      <w:r>
        <w:rPr>
          <w:rFonts w:hint="eastAsia" w:ascii="宋体" w:hAnsi="宋体" w:cs="宋体"/>
          <w:sz w:val="24"/>
          <w:szCs w:val="24"/>
        </w:rPr>
        <w:t>；（2）一期示范区、示范段标识系统详细方案设计（含车行、人行）。第二阶段（中标后）：由市政府评定的第一中标人应在第二阶段对其余入围的投标方案进行优缺点总结分析，取长补短，在适当整合各家方案的基础上，完成深化方案（含总体规划方案、五城区城市标识系统设置导则），并对重点区域、重点线路、片区内干道、一期示范区、示范段进行详细方案设计。</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bCs/>
          <w:kern w:val="0"/>
          <w:sz w:val="24"/>
          <w:szCs w:val="24"/>
        </w:rPr>
        <w:t>★</w:t>
      </w:r>
      <w:r>
        <w:rPr>
          <w:rFonts w:hint="eastAsia" w:ascii="宋体" w:hAnsi="宋体" w:cs="宋体"/>
          <w:b/>
          <w:sz w:val="24"/>
          <w:szCs w:val="24"/>
        </w:rPr>
        <w:t>第一阶段概念性方案：</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1.福州市</w:t>
      </w:r>
      <w:r>
        <w:rPr>
          <w:rFonts w:ascii="宋体" w:hAnsi="宋体" w:cs="宋体"/>
          <w:b/>
          <w:sz w:val="24"/>
          <w:szCs w:val="24"/>
        </w:rPr>
        <w:t>城市标识系统总体规划</w:t>
      </w:r>
      <w:r>
        <w:rPr>
          <w:rFonts w:hint="eastAsia" w:ascii="宋体" w:hAnsi="宋体" w:cs="宋体"/>
          <w:b/>
          <w:sz w:val="24"/>
          <w:szCs w:val="24"/>
        </w:rPr>
        <w:t>主要</w:t>
      </w:r>
      <w:r>
        <w:rPr>
          <w:rFonts w:ascii="宋体" w:hAnsi="宋体" w:cs="宋体"/>
          <w:b/>
          <w:sz w:val="24"/>
          <w:szCs w:val="24"/>
        </w:rPr>
        <w:t>内容应涵盖</w:t>
      </w:r>
      <w:r>
        <w:rPr>
          <w:rFonts w:hint="eastAsia" w:ascii="宋体" w:hAnsi="宋体" w:cs="宋体"/>
          <w:b/>
          <w:sz w:val="24"/>
          <w:szCs w:val="24"/>
        </w:rPr>
        <w:t>但</w:t>
      </w:r>
      <w:r>
        <w:rPr>
          <w:rFonts w:ascii="宋体" w:hAnsi="宋体" w:cs="宋体"/>
          <w:b/>
          <w:sz w:val="24"/>
          <w:szCs w:val="24"/>
        </w:rPr>
        <w:t>不限于</w:t>
      </w:r>
      <w:r>
        <w:rPr>
          <w:rFonts w:hint="eastAsia" w:ascii="宋体" w:hAnsi="宋体" w:cs="宋体"/>
          <w:b/>
          <w:sz w:val="24"/>
          <w:szCs w:val="24"/>
        </w:rPr>
        <w:t>以下：</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（1）规划设计总体说明（目标定位、设计思路等）</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（2）规划理念及优秀案例</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（3）福州市标识系统现状问题分析与研究</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（4）技术路线</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（5）总体目标及总体布局</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（6）改善措施</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（7）城市标识导向信息分类</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（8）资源整合（城市</w:t>
      </w:r>
      <w:r>
        <w:rPr>
          <w:rFonts w:ascii="宋体" w:hAnsi="宋体" w:cs="宋体"/>
          <w:sz w:val="24"/>
          <w:szCs w:val="24"/>
        </w:rPr>
        <w:t>道路杆件与标识系统</w:t>
      </w:r>
      <w:r>
        <w:rPr>
          <w:rFonts w:hint="eastAsia" w:ascii="宋体" w:hAnsi="宋体" w:cs="宋体"/>
          <w:sz w:val="24"/>
          <w:szCs w:val="24"/>
        </w:rPr>
        <w:t>合理</w:t>
      </w:r>
      <w:r>
        <w:rPr>
          <w:rFonts w:ascii="宋体" w:hAnsi="宋体" w:cs="宋体"/>
          <w:sz w:val="24"/>
          <w:szCs w:val="24"/>
        </w:rPr>
        <w:t>整合</w:t>
      </w:r>
      <w:r>
        <w:rPr>
          <w:rFonts w:hint="eastAsia" w:ascii="宋体" w:hAnsi="宋体" w:cs="宋体"/>
          <w:sz w:val="24"/>
          <w:szCs w:val="24"/>
        </w:rPr>
        <w:t>，如“多杆合一”等）</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2.一期示范区、示范段标识系统详细方案设计</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针对</w:t>
      </w:r>
      <w:r>
        <w:rPr>
          <w:rFonts w:hint="eastAsia" w:ascii="宋体" w:hAnsi="宋体" w:cs="宋体"/>
          <w:b/>
          <w:sz w:val="24"/>
          <w:szCs w:val="24"/>
        </w:rPr>
        <w:t>2个示范区</w:t>
      </w:r>
      <w:r>
        <w:rPr>
          <w:rFonts w:hint="eastAsia" w:ascii="宋体" w:hAnsi="宋体" w:cs="宋体"/>
          <w:sz w:val="24"/>
          <w:szCs w:val="24"/>
        </w:rPr>
        <w:t>（湖东路-白马路-古田路-五一路围合区域；会展岛（含濂水路））、</w:t>
      </w:r>
      <w:r>
        <w:rPr>
          <w:rFonts w:hint="eastAsia" w:ascii="宋体" w:hAnsi="宋体" w:cs="宋体"/>
          <w:b/>
          <w:sz w:val="24"/>
          <w:szCs w:val="24"/>
        </w:rPr>
        <w:t>1条示范段</w:t>
      </w:r>
      <w:r>
        <w:rPr>
          <w:rFonts w:hint="eastAsia" w:ascii="宋体" w:hAnsi="宋体" w:cs="宋体"/>
          <w:sz w:val="24"/>
          <w:szCs w:val="24"/>
        </w:rPr>
        <w:t>（八一七路（华林路-古田路段））进行详细方案设计</w:t>
      </w:r>
      <w:r>
        <w:rPr>
          <w:rFonts w:ascii="宋体" w:hAnsi="宋体" w:cs="宋体"/>
          <w:sz w:val="24"/>
          <w:szCs w:val="24"/>
        </w:rPr>
        <w:t>，</w:t>
      </w:r>
      <w:r>
        <w:rPr>
          <w:rFonts w:hint="eastAsia" w:ascii="宋体" w:hAnsi="宋体" w:cs="宋体"/>
          <w:b/>
          <w:sz w:val="24"/>
          <w:szCs w:val="24"/>
        </w:rPr>
        <w:t>成果应涵盖但不限于以下</w:t>
      </w:r>
      <w:r>
        <w:rPr>
          <w:rFonts w:hint="eastAsia" w:ascii="宋体" w:hAnsi="宋体" w:cs="宋体"/>
          <w:sz w:val="24"/>
          <w:szCs w:val="24"/>
        </w:rPr>
        <w:t>：（1）</w:t>
      </w:r>
      <w:r>
        <w:rPr>
          <w:rFonts w:hint="eastAsia" w:cs="仿宋_GB2312" w:asciiTheme="minorEastAsia" w:hAnsiTheme="minorEastAsia"/>
          <w:spacing w:val="6"/>
          <w:sz w:val="24"/>
          <w:szCs w:val="24"/>
        </w:rPr>
        <w:t>3套车行指路导向标识（含旅游标识）版面设计方案（样式）；（2）2套停车引导标识方案（样式）；</w:t>
      </w:r>
      <w:r>
        <w:rPr>
          <w:rFonts w:hint="eastAsia" w:ascii="宋体" w:hAnsi="宋体" w:cs="宋体"/>
          <w:sz w:val="24"/>
          <w:szCs w:val="24"/>
        </w:rPr>
        <w:t>（3）</w:t>
      </w:r>
      <w:r>
        <w:rPr>
          <w:rFonts w:hint="eastAsia" w:ascii="宋体" w:hAnsi="宋体" w:cs="宋体"/>
          <w:b/>
          <w:sz w:val="24"/>
          <w:szCs w:val="24"/>
        </w:rPr>
        <w:t>示范段</w:t>
      </w:r>
      <w:r>
        <w:rPr>
          <w:rFonts w:hint="eastAsia" w:ascii="宋体" w:hAnsi="宋体" w:cs="宋体"/>
          <w:sz w:val="24"/>
          <w:szCs w:val="24"/>
        </w:rPr>
        <w:t>车行指路导向标识详细设计方案（需包含</w:t>
      </w:r>
      <w:r>
        <w:rPr>
          <w:rFonts w:hint="eastAsia" w:cs="仿宋_GB2312" w:asciiTheme="minorEastAsia" w:hAnsiTheme="minorEastAsia"/>
          <w:spacing w:val="6"/>
          <w:sz w:val="24"/>
          <w:szCs w:val="24"/>
        </w:rPr>
        <w:t>详细指引信息</w:t>
      </w:r>
      <w:r>
        <w:rPr>
          <w:rFonts w:hint="eastAsia" w:ascii="宋体" w:hAnsi="宋体" w:cs="宋体"/>
          <w:sz w:val="24"/>
          <w:szCs w:val="24"/>
        </w:rPr>
        <w:t>）；（4）1套人行标识点位布局</w:t>
      </w:r>
      <w:r>
        <w:rPr>
          <w:rFonts w:ascii="宋体" w:hAnsi="宋体" w:cs="宋体"/>
          <w:sz w:val="24"/>
          <w:szCs w:val="24"/>
        </w:rPr>
        <w:t>图</w:t>
      </w:r>
      <w:r>
        <w:rPr>
          <w:rFonts w:hint="eastAsia" w:ascii="宋体" w:hAnsi="宋体" w:cs="宋体"/>
          <w:sz w:val="24"/>
          <w:szCs w:val="24"/>
        </w:rPr>
        <w:t>；</w:t>
      </w:r>
      <w:r>
        <w:rPr>
          <w:rFonts w:hint="eastAsia" w:cs="仿宋_GB2312" w:asciiTheme="minorEastAsia" w:hAnsiTheme="minorEastAsia"/>
          <w:spacing w:val="6"/>
          <w:sz w:val="24"/>
          <w:szCs w:val="24"/>
        </w:rPr>
        <w:t>（5）</w:t>
      </w:r>
      <w:r>
        <w:rPr>
          <w:rFonts w:hint="eastAsia" w:cs="仿宋_GB2312" w:asciiTheme="minorEastAsia" w:hAnsiTheme="minorEastAsia"/>
          <w:b/>
          <w:spacing w:val="6"/>
          <w:sz w:val="24"/>
          <w:szCs w:val="24"/>
        </w:rPr>
        <w:t>示范区、示范段</w:t>
      </w:r>
      <w:r>
        <w:rPr>
          <w:rFonts w:hint="eastAsia" w:cs="仿宋_GB2312" w:asciiTheme="minorEastAsia" w:hAnsiTheme="minorEastAsia"/>
          <w:spacing w:val="6"/>
          <w:sz w:val="24"/>
          <w:szCs w:val="24"/>
        </w:rPr>
        <w:t>人行导向标识（含路名牌）详细设计方案（</w:t>
      </w:r>
      <w:r>
        <w:rPr>
          <w:rFonts w:hint="eastAsia" w:ascii="宋体" w:hAnsi="宋体" w:cs="宋体"/>
          <w:sz w:val="24"/>
          <w:szCs w:val="24"/>
        </w:rPr>
        <w:t>需包含</w:t>
      </w:r>
      <w:r>
        <w:rPr>
          <w:rFonts w:hint="eastAsia" w:cs="仿宋_GB2312" w:asciiTheme="minorEastAsia" w:hAnsiTheme="minorEastAsia"/>
          <w:spacing w:val="6"/>
          <w:sz w:val="24"/>
          <w:szCs w:val="24"/>
        </w:rPr>
        <w:t>详细指引信息）。</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第二阶段深化方案：</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由市政府评定的第一中标人应吸收其余入围单位规划成果，对第一阶段成果进行细化完善，最终提交：（1）福州市</w:t>
      </w:r>
      <w:r>
        <w:rPr>
          <w:rFonts w:ascii="宋体" w:hAnsi="宋体" w:cs="宋体"/>
          <w:sz w:val="24"/>
          <w:szCs w:val="24"/>
        </w:rPr>
        <w:t>城市标识系统总体规划</w:t>
      </w:r>
      <w:r>
        <w:rPr>
          <w:rFonts w:hint="eastAsia" w:ascii="宋体" w:hAnsi="宋体" w:cs="宋体"/>
          <w:sz w:val="24"/>
          <w:szCs w:val="24"/>
        </w:rPr>
        <w:t>；（2）重点区域、重点线路、片区内干道、一期示范区、示范段详细设计方案；（3）五城区城市标识系统设置导则。</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福州市</w:t>
      </w:r>
      <w:r>
        <w:rPr>
          <w:rFonts w:ascii="宋体" w:hAnsi="宋体" w:cs="宋体"/>
          <w:b/>
          <w:sz w:val="24"/>
          <w:szCs w:val="24"/>
        </w:rPr>
        <w:t>城市标识系统</w:t>
      </w:r>
      <w:r>
        <w:rPr>
          <w:rFonts w:hint="eastAsia" w:ascii="宋体" w:hAnsi="宋体" w:cs="宋体"/>
          <w:b/>
          <w:sz w:val="24"/>
          <w:szCs w:val="24"/>
        </w:rPr>
        <w:t>设置导则内容应涵盖但不限于以下：</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（1）总则</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（2）编制依据</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（3）专业术语</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（4）标识样式</w:t>
      </w:r>
      <w:r>
        <w:rPr>
          <w:rFonts w:ascii="宋体" w:hAnsi="宋体" w:cs="宋体"/>
          <w:sz w:val="24"/>
          <w:szCs w:val="24"/>
        </w:rPr>
        <w:t>和选用</w:t>
      </w:r>
      <w:r>
        <w:rPr>
          <w:rFonts w:hint="eastAsia" w:ascii="宋体" w:hAnsi="宋体" w:cs="宋体"/>
          <w:sz w:val="24"/>
          <w:szCs w:val="24"/>
        </w:rPr>
        <w:t>（分类）</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按照</w:t>
      </w:r>
      <w:r>
        <w:rPr>
          <w:rFonts w:ascii="宋体" w:hAnsi="宋体" w:cs="宋体"/>
          <w:sz w:val="24"/>
          <w:szCs w:val="24"/>
        </w:rPr>
        <w:t>分类对标志样式和选用</w:t>
      </w:r>
      <w:r>
        <w:rPr>
          <w:rFonts w:hint="eastAsia" w:ascii="宋体" w:hAnsi="宋体" w:cs="宋体"/>
          <w:sz w:val="24"/>
          <w:szCs w:val="24"/>
        </w:rPr>
        <w:t>进行</w:t>
      </w:r>
      <w:r>
        <w:rPr>
          <w:rFonts w:ascii="宋体" w:hAnsi="宋体" w:cs="宋体"/>
          <w:sz w:val="24"/>
          <w:szCs w:val="24"/>
        </w:rPr>
        <w:t>规定，</w:t>
      </w:r>
      <w:r>
        <w:rPr>
          <w:rFonts w:hint="eastAsia" w:ascii="宋体" w:hAnsi="宋体" w:cs="宋体"/>
          <w:sz w:val="24"/>
          <w:szCs w:val="24"/>
        </w:rPr>
        <w:t>如</w:t>
      </w:r>
      <w:r>
        <w:rPr>
          <w:rFonts w:ascii="宋体" w:hAnsi="宋体" w:cs="宋体"/>
          <w:sz w:val="24"/>
          <w:szCs w:val="24"/>
        </w:rPr>
        <w:t>：</w:t>
      </w:r>
      <w:r>
        <w:rPr>
          <w:rFonts w:hint="eastAsia" w:ascii="宋体" w:hAnsi="宋体" w:cs="宋体"/>
          <w:sz w:val="24"/>
          <w:szCs w:val="24"/>
        </w:rPr>
        <w:t>城市基础公共信息导向系统的旅游专线标识设置要求、公共信息提示警示及禁止标识设置要求、市政设施复合标识设置要求，特定区域公共信息导向系统的景区导向标识设置要求、大型公共服务设施导向标识设置要求等。</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（5）标识</w:t>
      </w:r>
      <w:r>
        <w:rPr>
          <w:rFonts w:ascii="宋体" w:hAnsi="宋体" w:cs="宋体"/>
          <w:sz w:val="24"/>
          <w:szCs w:val="24"/>
        </w:rPr>
        <w:t>安装和设置</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（6）标识</w:t>
      </w:r>
      <w:r>
        <w:rPr>
          <w:rFonts w:ascii="宋体" w:hAnsi="宋体" w:cs="宋体"/>
          <w:sz w:val="24"/>
          <w:szCs w:val="24"/>
        </w:rPr>
        <w:t>验收标准</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（7）标识</w:t>
      </w:r>
      <w:r>
        <w:rPr>
          <w:rFonts w:ascii="宋体" w:hAnsi="宋体" w:cs="宋体"/>
          <w:sz w:val="24"/>
          <w:szCs w:val="24"/>
        </w:rPr>
        <w:t>养护和维护</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（8）附录</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（五）成果形式</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1.第一阶段成果图纸装订成册，提交不少于10套。（入围单位提供）</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2.电子文件：全部设计成果均应制作成电子文件，文本文件采用Microsoft Word、Powerpoint或pdf格式文件。设计图形文件采用Auto CAD的dwg格式文件、cdr等格式。电脑渲染图等图片文件，应为JPG格式。提交以上电子文件1套。</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3.不低于一分钟的视频短片，中文配音。</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（六）时间安排</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1、投标阶段完成第一阶段概念性方案；</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 xml:space="preserve">2、市政府确认中标单位之日起45个日历日内完成第二阶段深化方案，提交最终成果（具体以合同约定为准）； </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3、第二阶段深化方案周期配合采购人时间进行调整。</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（七）项目技术团队要求</w:t>
      </w:r>
    </w:p>
    <w:p>
      <w:pPr>
        <w:widowControl/>
        <w:spacing w:before="75" w:after="75" w:line="360" w:lineRule="auto"/>
        <w:ind w:firstLine="482" w:firstLineChars="200"/>
        <w:jc w:val="left"/>
        <w:outlineLvl w:val="0"/>
        <w:rPr>
          <w:rFonts w:ascii="宋体" w:hAnsi="宋体" w:cs="宋体"/>
          <w:b/>
          <w:color w:val="FF0000"/>
          <w:sz w:val="24"/>
          <w:szCs w:val="24"/>
        </w:rPr>
      </w:pPr>
      <w:r>
        <w:rPr>
          <w:rFonts w:hint="eastAsia" w:ascii="宋体" w:hAnsi="宋体" w:cs="宋体"/>
          <w:b/>
          <w:sz w:val="24"/>
          <w:szCs w:val="24"/>
        </w:rPr>
        <w:t>1、本项目技术团队须包含项目负责人1名，其余配备人员6名及以上。</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1.1项目负责人响应</w:t>
      </w:r>
    </w:p>
    <w:p>
      <w:pPr>
        <w:spacing w:line="360" w:lineRule="auto"/>
        <w:ind w:firstLine="506" w:firstLineChars="200"/>
        <w:rPr>
          <w:rFonts w:cs="仿宋_GB2312" w:asciiTheme="minorEastAsia" w:hAnsiTheme="minorEastAsia"/>
          <w:b/>
          <w:spacing w:val="6"/>
          <w:sz w:val="24"/>
          <w:szCs w:val="24"/>
        </w:rPr>
      </w:pPr>
      <w:r>
        <w:rPr>
          <w:rFonts w:hint="eastAsia" w:cs="仿宋_GB2312" w:asciiTheme="minorEastAsia" w:hAnsiTheme="minorEastAsia"/>
          <w:b/>
          <w:spacing w:val="6"/>
          <w:sz w:val="24"/>
          <w:szCs w:val="24"/>
        </w:rPr>
        <w:t>项目负责人应具备合格有效地国家注册规划师或城市交通专业、视觉设计、景观设计专业（三个专业之一）的高级工程师职称，项目负责人做好项目技术把关、汇报等工作。</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1.2项目技术团队响应</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在采购人提前通知重大会议安排的情况下，最终中标单位项目负责人应保证亲自出席会议，并参加汇报（若确实因重大事项无法出席，可委托技术团队执行负责人员代为汇报）。设计团队人员【配备人员总数至少6名以上（含6名），其中中级工程师(或以上)至少2名（含2名）以上】，应保证至少累计有25日常驻福州开展工作。</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（八）项目服务要求</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bCs/>
          <w:kern w:val="0"/>
          <w:sz w:val="24"/>
          <w:szCs w:val="24"/>
        </w:rPr>
        <w:t>★</w:t>
      </w:r>
      <w:r>
        <w:rPr>
          <w:rFonts w:hint="eastAsia" w:ascii="宋体" w:hAnsi="宋体" w:cs="宋体"/>
          <w:b/>
          <w:sz w:val="24"/>
          <w:szCs w:val="24"/>
        </w:rPr>
        <w:t>1.本项目采取入围方式选定供应商，入围家数为四家（如不足四家则入围三家）。入围的四家供应商可在接到采购人通知后7个日历日内对其设计方案进行进一步的深化设计，以深化后的设计方案提交市政府评定最终名次，第一名将作为中标人。同时采购人分别以人民币40万元、30万元、10万元的补偿标准购买第二、三、四名团队的设计方案所有权，并由市政府评定的第一中标人吸纳第二、三、四名团队的设计方案，深化完善规划设计成果。</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bCs/>
          <w:kern w:val="0"/>
          <w:sz w:val="24"/>
          <w:szCs w:val="24"/>
        </w:rPr>
        <w:t>★</w:t>
      </w:r>
      <w:r>
        <w:rPr>
          <w:rFonts w:hint="eastAsia" w:ascii="宋体" w:hAnsi="宋体" w:cs="宋体"/>
          <w:b/>
          <w:sz w:val="24"/>
          <w:szCs w:val="24"/>
        </w:rPr>
        <w:t>2. 各投标人须承诺：如若入围，同意采购人购买其设计方案所有权，并接受招标文件规定的购买设计方案所有权的补偿标准；同时同意本项目中标人吸纳采用其设计方案。未对此项进行承诺者，以无效标处理。</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3.若采购人对时间进度有特殊要求时，中标人应配合调整，根据采购人时间要求配合调整汇报时间。</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4.项目现场勘察、设计、讨论所有涉及的差旅费、文本装订等费用由中标人自行承担。</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5.中标人的主创设计师或项目负责人应参加采购人组织的现场踏勘、技术交流会、成果汇报会及评审会等，现场调研及成果汇报等赴榕时间不少于15日，按要求提供相关书面及电子材料，并根据会议要求修改完善设计成果。</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6.中标人应协助指导标识项目建设，做好相关建设项目咨询工作。</w:t>
      </w:r>
    </w:p>
    <w:p>
      <w:pPr>
        <w:widowControl/>
        <w:spacing w:before="75" w:after="75" w:line="360" w:lineRule="auto"/>
        <w:ind w:firstLine="482" w:firstLineChars="200"/>
        <w:jc w:val="left"/>
        <w:outlineLvl w:val="0"/>
        <w:rPr>
          <w:rFonts w:ascii="宋体" w:hAnsi="宋体" w:cs="宋体"/>
          <w:b/>
          <w:sz w:val="24"/>
          <w:szCs w:val="24"/>
        </w:rPr>
      </w:pPr>
      <w:r>
        <w:rPr>
          <w:rFonts w:hint="eastAsia" w:ascii="宋体" w:hAnsi="宋体" w:cs="宋体"/>
          <w:b/>
          <w:sz w:val="24"/>
          <w:szCs w:val="24"/>
        </w:rPr>
        <w:t>（九）验收</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1.验收由采购单位或采购单位授权代表负责，若发现未符合招标文件及合同相关条款要求，需立即进行整改，并通过最终验收。</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2.验收依据是国家有关规范、投标文件、招标文件和项目相关文件。</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3.交付采购单位验收前投标人应先进行自检。</w:t>
      </w:r>
    </w:p>
    <w:p>
      <w:pPr>
        <w:widowControl/>
        <w:spacing w:before="75" w:after="75" w:line="360" w:lineRule="auto"/>
        <w:ind w:firstLine="480" w:firstLineChars="200"/>
        <w:jc w:val="left"/>
        <w:outlineLvl w:val="0"/>
        <w:rPr>
          <w:rFonts w:ascii="宋体" w:hAnsi="宋体" w:cs="宋体"/>
          <w:sz w:val="24"/>
          <w:szCs w:val="24"/>
        </w:rPr>
      </w:pPr>
      <w:r>
        <w:rPr>
          <w:rFonts w:hint="eastAsia" w:ascii="宋体" w:hAnsi="宋体" w:cs="宋体"/>
          <w:sz w:val="24"/>
          <w:szCs w:val="24"/>
        </w:rPr>
        <w:t>4.若按有关法规需由政府部门进行验收，中标人负责组织验收并负责相关费用。</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5.中标人提供的设计服务实际情况与投标文件响应不符，或未按合同或招标文件规定的服务要求服务时的，采购人有权拒绝其服务，由此造成的直接损失和间接损失由中标人赔偿；</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6.本招标文件未明确的其它约定事项或条款，待采购人与中标人签订合同时，由双方协商订立。</w:t>
      </w:r>
    </w:p>
    <w:p>
      <w:pPr>
        <w:widowControl/>
        <w:spacing w:before="75" w:after="75" w:line="360" w:lineRule="auto"/>
        <w:ind w:firstLine="482" w:firstLineChars="200"/>
        <w:jc w:val="left"/>
        <w:outlineLvl w:val="0"/>
        <w:rPr>
          <w:rFonts w:ascii="宋体" w:cs="Times New Roman"/>
          <w:b/>
          <w:bCs/>
          <w:sz w:val="24"/>
          <w:szCs w:val="24"/>
        </w:rPr>
      </w:pPr>
      <w:r>
        <w:rPr>
          <w:rFonts w:hint="eastAsia" w:ascii="宋体" w:hAnsi="宋体" w:cs="宋体"/>
          <w:b/>
          <w:bCs/>
          <w:sz w:val="24"/>
          <w:szCs w:val="24"/>
        </w:rPr>
        <w:t>（十）违约责任</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1.因中标人原因造成采购合同无法按时签订，视为中标人违约，中标人违约对采购人造成的损失的，需另行支付相应的赔偿。</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2.在签定采购合同之后，中标人要求解除合同的，视为中标人违约，采购人有权没收其履约保证金，如履约保证金不能弥补中标人违约对采购人造成的损失的，中标人还需另行支付相应的赔偿。</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3.中标人所提供的服务不符合招标文件或合同要求的，采购人有权拒绝其服务；同时，中标人应向采购人偿付该中标总金额1</w:t>
      </w:r>
      <w:r>
        <w:rPr>
          <w:rFonts w:ascii="宋体" w:hAnsi="宋体" w:cs="宋体"/>
          <w:sz w:val="24"/>
          <w:szCs w:val="24"/>
        </w:rPr>
        <w:t>%</w:t>
      </w:r>
      <w:r>
        <w:rPr>
          <w:rFonts w:hint="eastAsia" w:ascii="宋体" w:hAnsi="宋体" w:cs="宋体"/>
          <w:sz w:val="24"/>
          <w:szCs w:val="24"/>
        </w:rPr>
        <w:t>的违约金，且涉及到的部分合同条款终止履行。</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4.中标人不能交付服务的，中标人应向采购人偿付该中标总金额1</w:t>
      </w:r>
      <w:r>
        <w:rPr>
          <w:rFonts w:ascii="宋体" w:hAnsi="宋体" w:cs="宋体"/>
          <w:sz w:val="24"/>
          <w:szCs w:val="24"/>
        </w:rPr>
        <w:t>%</w:t>
      </w:r>
      <w:r>
        <w:rPr>
          <w:rFonts w:hint="eastAsia" w:ascii="宋体" w:hAnsi="宋体" w:cs="宋体"/>
          <w:sz w:val="24"/>
          <w:szCs w:val="24"/>
        </w:rPr>
        <w:t>的违约金，且涉及到的部分合同条款终止履行。</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5.在明确违约责任后，中标人应在接到书面通知书起七天内支付违约金、赔偿金等。</w:t>
      </w:r>
    </w:p>
    <w:p>
      <w:pPr>
        <w:widowControl/>
        <w:spacing w:before="75" w:after="75" w:line="360" w:lineRule="auto"/>
        <w:ind w:firstLine="480" w:firstLineChars="200"/>
        <w:jc w:val="left"/>
        <w:outlineLvl w:val="0"/>
        <w:rPr>
          <w:rFonts w:ascii="宋体" w:cs="Times New Roman"/>
          <w:sz w:val="24"/>
          <w:szCs w:val="24"/>
        </w:rPr>
      </w:pPr>
      <w:r>
        <w:rPr>
          <w:rFonts w:hint="eastAsia" w:ascii="宋体" w:hAnsi="宋体" w:cs="宋体"/>
          <w:sz w:val="24"/>
          <w:szCs w:val="24"/>
        </w:rPr>
        <w:t>6.采购人与中标人如因履行投标文件内容发生争议，应通过友好协商解决。协商不成，向福州仲裁委员会提交仲裁申请。</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三、商务条件</w:t>
      </w:r>
      <w:r>
        <w:rPr>
          <w:rFonts w:ascii="宋体" w:hAnsi="宋体" w:eastAsia="宋体" w:cs="宋体"/>
          <w:b/>
          <w:bCs/>
          <w:kern w:val="0"/>
          <w:sz w:val="24"/>
          <w:szCs w:val="24"/>
        </w:rPr>
        <w:t>（以“</w:t>
      </w:r>
      <w:r>
        <w:rPr>
          <w:rFonts w:hint="eastAsia" w:ascii="宋体" w:hAnsi="宋体" w:eastAsia="宋体" w:cs="宋体"/>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before="75" w:after="75" w:line="360" w:lineRule="auto"/>
        <w:jc w:val="left"/>
        <w:rPr>
          <w:rFonts w:ascii="宋体" w:hAnsi="宋体" w:cs="宋体"/>
          <w:b/>
          <w:bCs/>
          <w:kern w:val="0"/>
          <w:sz w:val="24"/>
          <w:szCs w:val="24"/>
        </w:rPr>
      </w:pPr>
      <w:r>
        <w:rPr>
          <w:rFonts w:ascii="宋体" w:hAnsi="宋体" w:eastAsia="宋体" w:cs="宋体"/>
          <w:b/>
          <w:bCs/>
          <w:kern w:val="0"/>
          <w:sz w:val="24"/>
          <w:szCs w:val="24"/>
        </w:rPr>
        <w:t>包：1</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1、交付地点：福建省福州市仓山区南江滨大道193号东部办公区4号楼5楼 </w:t>
      </w:r>
      <w:r>
        <w:rPr>
          <w:rFonts w:ascii="宋体" w:hAnsi="宋体" w:eastAsia="宋体" w:cs="宋体"/>
          <w:b/>
          <w:bCs/>
          <w:kern w:val="0"/>
          <w:sz w:val="24"/>
          <w:szCs w:val="24"/>
        </w:rPr>
        <w:br w:type="textWrapping"/>
      </w:r>
      <w:r>
        <w:rPr>
          <w:rFonts w:ascii="宋体" w:hAnsi="宋体" w:eastAsia="宋体" w:cs="宋体"/>
          <w:b/>
          <w:bCs/>
          <w:kern w:val="0"/>
          <w:sz w:val="24"/>
          <w:szCs w:val="24"/>
        </w:rPr>
        <w:t>2、交付时间：自合同签订之日起45个日历日内完成第二阶段深化方案，提交最终成果（具体以合同约定为准）。</w:t>
      </w:r>
      <w:r>
        <w:rPr>
          <w:rFonts w:ascii="宋体" w:hAnsi="宋体" w:eastAsia="宋体" w:cs="宋体"/>
          <w:b/>
          <w:bCs/>
          <w:kern w:val="0"/>
          <w:sz w:val="24"/>
          <w:szCs w:val="24"/>
        </w:rPr>
        <w:br w:type="textWrapping"/>
      </w:r>
      <w:r>
        <w:rPr>
          <w:rFonts w:ascii="宋体" w:hAnsi="宋体" w:eastAsia="宋体" w:cs="宋体"/>
          <w:b/>
          <w:bCs/>
          <w:kern w:val="0"/>
          <w:sz w:val="24"/>
          <w:szCs w:val="24"/>
        </w:rPr>
        <w:t>3、交付条件：经采购人验收合格后，具体按合同执行。</w:t>
      </w:r>
      <w:r>
        <w:rPr>
          <w:rFonts w:ascii="宋体" w:hAnsi="宋体" w:eastAsia="宋体" w:cs="宋体"/>
          <w:b/>
          <w:bCs/>
          <w:kern w:val="0"/>
          <w:sz w:val="24"/>
          <w:szCs w:val="24"/>
        </w:rPr>
        <w:br w:type="textWrapping"/>
      </w:r>
      <w:r>
        <w:rPr>
          <w:rFonts w:ascii="宋体" w:hAnsi="宋体" w:eastAsia="宋体" w:cs="宋体"/>
          <w:b/>
          <w:bCs/>
          <w:kern w:val="0"/>
          <w:sz w:val="24"/>
          <w:szCs w:val="24"/>
        </w:rPr>
        <w:t>4、是否收取履约保证金：</w:t>
      </w:r>
      <w:r>
        <w:rPr>
          <w:rFonts w:hint="eastAsia" w:ascii="宋体" w:hAnsi="宋体" w:eastAsia="宋体" w:cs="宋体"/>
          <w:b/>
          <w:bCs/>
          <w:kern w:val="0"/>
          <w:sz w:val="24"/>
          <w:szCs w:val="24"/>
        </w:rPr>
        <w:t>否。</w:t>
      </w:r>
    </w:p>
    <w:p>
      <w:pPr>
        <w:widowControl/>
        <w:spacing w:before="75" w:after="75" w:line="360" w:lineRule="auto"/>
        <w:jc w:val="left"/>
        <w:rPr>
          <w:rFonts w:ascii="宋体" w:hAnsi="宋体" w:eastAsia="宋体" w:cs="宋体"/>
          <w:kern w:val="0"/>
          <w:sz w:val="24"/>
          <w:szCs w:val="24"/>
        </w:rPr>
      </w:pPr>
      <w:r>
        <w:rPr>
          <w:rFonts w:ascii="宋体" w:hAnsi="宋体" w:eastAsia="宋体" w:cs="宋体"/>
          <w:b/>
          <w:bCs/>
          <w:kern w:val="0"/>
          <w:sz w:val="24"/>
          <w:szCs w:val="24"/>
        </w:rPr>
        <w:t>5、是否邀请投标人参与验收：否</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6、验收方式数据表格 </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验收期次</w:t>
            </w:r>
          </w:p>
        </w:tc>
        <w:tc>
          <w:tcPr>
            <w:tcW w:w="665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w:t>
            </w:r>
          </w:p>
        </w:tc>
        <w:tc>
          <w:tcPr>
            <w:tcW w:w="665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按招标文件及合同要求及通过市政府审议。</w:t>
            </w:r>
          </w:p>
        </w:tc>
      </w:tr>
    </w:tbl>
    <w:p>
      <w:pPr>
        <w:widowControl/>
        <w:spacing w:before="75" w:after="75" w:line="360" w:lineRule="auto"/>
        <w:jc w:val="left"/>
        <w:rPr>
          <w:rFonts w:ascii="宋体" w:hAnsi="宋体" w:eastAsia="宋体" w:cs="宋体"/>
          <w:b/>
          <w:bCs/>
          <w:kern w:val="0"/>
          <w:sz w:val="24"/>
          <w:szCs w:val="24"/>
        </w:rPr>
      </w:pPr>
      <w:r>
        <w:rPr>
          <w:rFonts w:ascii="宋体" w:hAnsi="宋体" w:eastAsia="宋体" w:cs="宋体"/>
          <w:b/>
          <w:bCs/>
          <w:kern w:val="0"/>
          <w:sz w:val="24"/>
          <w:szCs w:val="24"/>
        </w:rPr>
        <w:t xml:space="preserve">7、支付方式数据表格 </w:t>
      </w:r>
    </w:p>
    <w:tbl>
      <w:tblPr>
        <w:tblStyle w:val="10"/>
        <w:tblW w:w="8322"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支付期次</w:t>
            </w:r>
          </w:p>
        </w:tc>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支付比例(%)</w:t>
            </w:r>
          </w:p>
        </w:tc>
        <w:tc>
          <w:tcPr>
            <w:tcW w:w="499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1</w:t>
            </w:r>
          </w:p>
        </w:tc>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30</w:t>
            </w:r>
          </w:p>
        </w:tc>
        <w:tc>
          <w:tcPr>
            <w:tcW w:w="499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签订合同,提交初步成果。</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2</w:t>
            </w:r>
          </w:p>
        </w:tc>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50</w:t>
            </w:r>
          </w:p>
        </w:tc>
        <w:tc>
          <w:tcPr>
            <w:tcW w:w="499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完成评审成果，通过专家评审及市政府审议</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3</w:t>
            </w:r>
          </w:p>
        </w:tc>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rPr>
                <w:rFonts w:ascii="宋体" w:hAnsi="宋体" w:eastAsia="宋体" w:cs="宋体"/>
                <w:kern w:val="0"/>
                <w:sz w:val="24"/>
                <w:szCs w:val="24"/>
              </w:rPr>
            </w:pPr>
            <w:r>
              <w:rPr>
                <w:rFonts w:ascii="宋体" w:hAnsi="宋体" w:eastAsia="宋体" w:cs="宋体"/>
                <w:kern w:val="0"/>
                <w:sz w:val="24"/>
                <w:szCs w:val="24"/>
              </w:rPr>
              <w:t>20</w:t>
            </w:r>
          </w:p>
        </w:tc>
        <w:tc>
          <w:tcPr>
            <w:tcW w:w="4993"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通过财政评审中心审结。</w:t>
            </w:r>
          </w:p>
        </w:tc>
      </w:tr>
    </w:tbl>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四、其他事项</w:t>
      </w:r>
    </w:p>
    <w:p>
      <w:pPr>
        <w:widowControl/>
        <w:spacing w:before="75" w:after="75" w:line="360" w:lineRule="auto"/>
        <w:jc w:val="left"/>
        <w:rPr>
          <w:rFonts w:ascii="宋体" w:cs="Times New Roman"/>
          <w:kern w:val="0"/>
          <w:sz w:val="24"/>
          <w:szCs w:val="24"/>
        </w:rPr>
      </w:pPr>
      <w:r>
        <w:rPr>
          <w:rFonts w:hint="eastAsia" w:ascii="宋体" w:hAnsi="宋体" w:cs="宋体"/>
          <w:kern w:val="0"/>
          <w:sz w:val="24"/>
          <w:szCs w:val="24"/>
        </w:rPr>
        <w:t>1、参与解说人员需出示身份证原件，由专家进行核实，解说时间不超过</w:t>
      </w:r>
      <w:r>
        <w:rPr>
          <w:rFonts w:hint="eastAsia" w:ascii="宋体" w:hAnsi="宋体" w:cs="宋体"/>
          <w:b/>
          <w:kern w:val="0"/>
          <w:sz w:val="24"/>
          <w:szCs w:val="24"/>
        </w:rPr>
        <w:t>25分钟</w:t>
      </w:r>
      <w:r>
        <w:rPr>
          <w:rFonts w:hint="eastAsia" w:ascii="宋体" w:hAnsi="宋体" w:cs="宋体"/>
          <w:kern w:val="0"/>
          <w:sz w:val="24"/>
          <w:szCs w:val="24"/>
        </w:rPr>
        <w:t>（不包含“</w:t>
      </w:r>
      <w:r>
        <w:rPr>
          <w:rFonts w:hint="eastAsia" w:asciiTheme="minorEastAsia" w:hAnsiTheme="minorEastAsia"/>
          <w:bCs/>
          <w:color w:val="000000" w:themeColor="text1"/>
          <w:sz w:val="24"/>
          <w:szCs w:val="24"/>
        </w:rPr>
        <w:t>项目视频概况”短片演示时间</w:t>
      </w:r>
      <w:r>
        <w:rPr>
          <w:rFonts w:hint="eastAsia" w:ascii="宋体" w:hAnsi="宋体" w:cs="宋体"/>
          <w:kern w:val="0"/>
          <w:sz w:val="24"/>
          <w:szCs w:val="24"/>
        </w:rPr>
        <w:t>）,时间届满必须立即停止演示。招标代理机构仅提供投影设备，进行演示所需的其他设备由投标人自行提供。</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hint="eastAsia" w:ascii="宋体" w:hAnsi="宋体" w:eastAsia="宋体" w:cs="宋体"/>
          <w:b/>
          <w:bCs/>
          <w:kern w:val="0"/>
          <w:sz w:val="32"/>
        </w:rPr>
      </w:pPr>
      <w:r>
        <w:rPr>
          <w:rFonts w:hint="eastAsia" w:ascii="宋体" w:hAnsi="宋体" w:eastAsia="宋体" w:cs="宋体"/>
          <w:b/>
          <w:bCs/>
          <w:kern w:val="0"/>
          <w:sz w:val="32"/>
        </w:rPr>
        <w:br w:type="page"/>
      </w:r>
    </w:p>
    <w:p>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32"/>
        </w:rPr>
        <w:t>第六章   政府采购合同（参考文本）</w:t>
      </w:r>
    </w:p>
    <w:p>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line="360" w:lineRule="auto"/>
        <w:jc w:val="left"/>
        <w:rPr>
          <w:rFonts w:ascii="宋体" w:hAnsi="宋体" w:eastAsia="宋体" w:cs="宋体"/>
          <w:kern w:val="0"/>
          <w:sz w:val="24"/>
          <w:szCs w:val="24"/>
        </w:rPr>
      </w:pPr>
      <w:r>
        <w:rPr>
          <w:rFonts w:ascii="宋体" w:hAnsi="宋体" w:eastAsia="宋体" w:cs="宋体"/>
          <w:b/>
          <w:bCs/>
          <w:kern w:val="0"/>
          <w:sz w:val="24"/>
          <w:szCs w:val="24"/>
        </w:rPr>
        <w:t>1、签订合同应遵守政府采购法、合同法。</w:t>
      </w:r>
    </w:p>
    <w:p>
      <w:pPr>
        <w:widowControl/>
        <w:spacing w:before="75" w:after="75" w:line="360" w:lineRule="auto"/>
        <w:jc w:val="left"/>
        <w:rPr>
          <w:rFonts w:ascii="宋体" w:hAnsi="宋体" w:eastAsia="宋体" w:cs="宋体"/>
          <w:kern w:val="0"/>
          <w:sz w:val="24"/>
          <w:szCs w:val="24"/>
        </w:rPr>
      </w:pPr>
      <w:r>
        <w:rPr>
          <w:rFonts w:ascii="宋体" w:hAnsi="宋体" w:eastAsia="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75" w:after="75" w:line="360" w:lineRule="auto"/>
        <w:jc w:val="left"/>
        <w:rPr>
          <w:rFonts w:ascii="宋体" w:hAnsi="宋体" w:eastAsia="宋体" w:cs="宋体"/>
          <w:kern w:val="0"/>
          <w:sz w:val="24"/>
          <w:szCs w:val="24"/>
        </w:rPr>
      </w:pPr>
      <w:r>
        <w:rPr>
          <w:rFonts w:ascii="宋体" w:hAnsi="宋体" w:eastAsia="宋体" w:cs="宋体"/>
          <w:b/>
          <w:bCs/>
          <w:kern w:val="0"/>
          <w:sz w:val="24"/>
          <w:szCs w:val="24"/>
        </w:rPr>
        <w:t>3、国家有关部门对若干合同有规范文本的，可使用相应合同文本。</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u w:val="single"/>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甲方：</w:t>
      </w:r>
      <w:r>
        <w:rPr>
          <w:rFonts w:ascii="宋体" w:hAnsi="宋体" w:eastAsia="宋体" w:cs="宋体"/>
          <w:kern w:val="0"/>
          <w:sz w:val="24"/>
          <w:szCs w:val="24"/>
          <w:u w:val="single"/>
        </w:rPr>
        <w:t>（采购人全称）</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乙方：</w:t>
      </w:r>
      <w:r>
        <w:rPr>
          <w:rFonts w:ascii="宋体" w:hAnsi="宋体" w:eastAsia="宋体" w:cs="宋体"/>
          <w:kern w:val="0"/>
          <w:sz w:val="24"/>
          <w:szCs w:val="24"/>
          <w:u w:val="single"/>
        </w:rPr>
        <w:t>（中标人全称）</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根据招标编号为</w:t>
      </w:r>
      <w:r>
        <w:rPr>
          <w:rFonts w:ascii="宋体" w:hAnsi="宋体" w:eastAsia="宋体" w:cs="宋体"/>
          <w:kern w:val="0"/>
          <w:sz w:val="24"/>
          <w:szCs w:val="24"/>
          <w:u w:val="single"/>
        </w:rPr>
        <w:t>            </w:t>
      </w:r>
      <w:r>
        <w:rPr>
          <w:rFonts w:ascii="宋体" w:hAnsi="宋体" w:eastAsia="宋体" w:cs="宋体"/>
          <w:kern w:val="0"/>
          <w:sz w:val="24"/>
          <w:szCs w:val="24"/>
        </w:rPr>
        <w:t>的</w:t>
      </w:r>
      <w:r>
        <w:rPr>
          <w:rFonts w:ascii="宋体" w:hAnsi="宋体" w:eastAsia="宋体" w:cs="宋体"/>
          <w:kern w:val="0"/>
          <w:sz w:val="24"/>
          <w:szCs w:val="24"/>
          <w:u w:val="single"/>
        </w:rPr>
        <w:t>（填写“项目名称”）</w:t>
      </w:r>
      <w:r>
        <w:rPr>
          <w:rFonts w:ascii="宋体" w:hAnsi="宋体" w:eastAsia="宋体" w:cs="宋体"/>
          <w:kern w:val="0"/>
          <w:sz w:val="24"/>
          <w:szCs w:val="24"/>
        </w:rPr>
        <w:t>项目（以下简称：“本项目”）的招标结果，乙方为中标人。现经甲乙双方友好协商，就以下事项达成一致并签订本合同：</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1.2招标文件、乙方的投标文件；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5、合同标的应符合招标文件、乙方投标文件的规定或约定，具体如下：</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6.1验收应按照招标文件、乙方投标文件的规定或约定进行，具体如下：</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6.2本项目是否邀请其他投标人参与验收：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7、合同款项的支付应按照招标文件的规定进行，具体如下：</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（按照实际情况编制填写，可以是表格或文字描述，包括一次性支付或分期支付等）</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□无。□有，具体如下：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11、知识产权</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12、解决争议的方法</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12.1甲、乙双方协商解决。</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13、不可抗力</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宋体"/>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14、合同条款</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ascii="宋体" w:hAnsi="宋体" w:eastAsia="宋体" w:cs="宋体"/>
          <w:kern w:val="0"/>
          <w:sz w:val="24"/>
          <w:szCs w:val="24"/>
        </w:rPr>
        <w:t>。</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15、其他约定</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15.3合同生效：自签订之日起生效；通过福建省政府采购网上公开信息系统采用电子形式签订合同的，签订之日以系统记载的双方使用各自</w:t>
      </w:r>
      <w:r>
        <w:rPr>
          <w:rFonts w:ascii="Calibri" w:hAnsi="Calibri" w:eastAsia="宋体" w:cs="宋体"/>
          <w:kern w:val="0"/>
          <w:sz w:val="24"/>
          <w:szCs w:val="24"/>
        </w:rPr>
        <w:t>CA</w:t>
      </w:r>
      <w:r>
        <w:rPr>
          <w:rFonts w:ascii="宋体" w:hAnsi="宋体" w:eastAsia="宋体" w:cs="宋体"/>
          <w:kern w:val="0"/>
          <w:sz w:val="24"/>
          <w:szCs w:val="24"/>
        </w:rPr>
        <w:t>证书在合同上加盖单位公章或合同章的日期中的最晚时间为准。</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15.4本合同一式</w:t>
      </w:r>
      <w:r>
        <w:rPr>
          <w:rFonts w:ascii="宋体" w:hAnsi="宋体" w:eastAsia="宋体" w:cs="宋体"/>
          <w:kern w:val="0"/>
          <w:sz w:val="24"/>
          <w:szCs w:val="24"/>
          <w:u w:val="single"/>
        </w:rPr>
        <w:t>（填写具体份数）</w:t>
      </w:r>
      <w:r>
        <w:rPr>
          <w:rFonts w:ascii="宋体" w:hAnsi="宋体" w:eastAsia="宋体" w:cs="宋体"/>
          <w:kern w:val="0"/>
          <w:sz w:val="24"/>
          <w:szCs w:val="24"/>
        </w:rPr>
        <w:t>份，经双方授权代表签字并盖章后生效。甲方、乙方各执</w:t>
      </w:r>
      <w:r>
        <w:rPr>
          <w:rFonts w:ascii="宋体" w:hAnsi="宋体" w:eastAsia="宋体" w:cs="宋体"/>
          <w:kern w:val="0"/>
          <w:sz w:val="24"/>
          <w:szCs w:val="24"/>
          <w:u w:val="single"/>
        </w:rPr>
        <w:t>（填写具体份数）</w:t>
      </w:r>
      <w:r>
        <w:rPr>
          <w:rFonts w:ascii="宋体" w:hAnsi="宋体" w:eastAsia="宋体" w:cs="宋体"/>
          <w:kern w:val="0"/>
          <w:sz w:val="24"/>
          <w:szCs w:val="24"/>
        </w:rPr>
        <w:t>份，送</w:t>
      </w:r>
      <w:r>
        <w:rPr>
          <w:rFonts w:ascii="宋体" w:hAnsi="宋体" w:eastAsia="宋体" w:cs="宋体"/>
          <w:kern w:val="0"/>
          <w:sz w:val="24"/>
          <w:szCs w:val="24"/>
          <w:u w:val="single"/>
        </w:rPr>
        <w:t>（填写需要备案的监管部门的全称）</w:t>
      </w:r>
      <w:r>
        <w:rPr>
          <w:rFonts w:ascii="宋体" w:hAnsi="宋体" w:eastAsia="宋体" w:cs="宋体"/>
          <w:kern w:val="0"/>
          <w:sz w:val="24"/>
          <w:szCs w:val="24"/>
        </w:rPr>
        <w:t>备案</w:t>
      </w:r>
      <w:r>
        <w:rPr>
          <w:rFonts w:ascii="宋体" w:hAnsi="宋体" w:eastAsia="宋体" w:cs="宋体"/>
          <w:kern w:val="0"/>
          <w:sz w:val="24"/>
          <w:szCs w:val="24"/>
          <w:u w:val="single"/>
        </w:rPr>
        <w:t>（填写具体份数）</w:t>
      </w:r>
      <w:r>
        <w:rPr>
          <w:rFonts w:ascii="宋体" w:hAnsi="宋体" w:eastAsia="宋体" w:cs="宋体"/>
          <w:kern w:val="0"/>
          <w:sz w:val="24"/>
          <w:szCs w:val="24"/>
        </w:rPr>
        <w:t>份，具有同等效力。</w:t>
      </w:r>
    </w:p>
    <w:p>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15.5其他：□无。□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spacing w:before="75" w:after="75" w:line="360" w:lineRule="auto"/>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甲方：                                  乙方：</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住所：                                  住所：</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单位负责人：                            单位负责人：</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委托代理人：                            委托代理人：</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联系方法：                              联系方法：</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开户银行：                              开户银行：</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账号：                                  账号：</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签订地点：</w:t>
      </w:r>
      <w:r>
        <w:rPr>
          <w:rFonts w:ascii="宋体" w:hAnsi="宋体" w:eastAsia="宋体" w:cs="宋体"/>
          <w:kern w:val="0"/>
          <w:sz w:val="24"/>
          <w:szCs w:val="24"/>
          <w:u w:val="single"/>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签订日期：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360" w:lineRule="auto"/>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jc w:val="center"/>
        <w:rPr>
          <w:rFonts w:hint="eastAsia" w:ascii="宋体" w:hAnsi="宋体" w:eastAsia="宋体" w:cs="宋体"/>
          <w:b/>
          <w:bCs/>
          <w:kern w:val="0"/>
          <w:sz w:val="32"/>
        </w:rPr>
      </w:pPr>
      <w:r>
        <w:rPr>
          <w:rFonts w:hint="eastAsia" w:ascii="宋体" w:hAnsi="宋体" w:eastAsia="宋体" w:cs="宋体"/>
          <w:b/>
          <w:bCs/>
          <w:kern w:val="0"/>
          <w:sz w:val="32"/>
        </w:rPr>
        <w:br w:type="page"/>
      </w:r>
    </w:p>
    <w:p>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32"/>
        </w:rPr>
        <w:t>第七章   投标文件格式</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1、除招标文件另有规定外，本章中：</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1.1涉及投标人的</w:t>
      </w:r>
      <w:r>
        <w:rPr>
          <w:rFonts w:ascii="宋体" w:hAnsi="宋体" w:eastAsia="宋体" w:cs="宋体"/>
          <w:b/>
          <w:bCs/>
          <w:kern w:val="0"/>
          <w:sz w:val="24"/>
          <w:szCs w:val="24"/>
        </w:rPr>
        <w:t>“全称”</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投标人的全称</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牵头方的全称</w:t>
      </w:r>
      <w:r>
        <w:rPr>
          <w:rFonts w:ascii="宋体" w:hAnsi="宋体" w:eastAsia="宋体" w:cs="宋体"/>
          <w:kern w:val="0"/>
          <w:sz w:val="24"/>
          <w:szCs w:val="24"/>
        </w:rPr>
        <w:t>并加注</w:t>
      </w:r>
      <w:r>
        <w:rPr>
          <w:rFonts w:ascii="宋体" w:hAnsi="宋体" w:eastAsia="宋体" w:cs="宋体"/>
          <w:b/>
          <w:bCs/>
          <w:kern w:val="0"/>
          <w:sz w:val="24"/>
          <w:szCs w:val="24"/>
        </w:rPr>
        <w:t>（联合体牵头方）</w:t>
      </w:r>
      <w:r>
        <w:rPr>
          <w:rFonts w:ascii="宋体" w:hAnsi="宋体" w:eastAsia="宋体" w:cs="宋体"/>
          <w:kern w:val="0"/>
          <w:sz w:val="24"/>
          <w:szCs w:val="24"/>
        </w:rPr>
        <w:t>，即应表述为：</w:t>
      </w:r>
      <w:r>
        <w:rPr>
          <w:rFonts w:ascii="宋体" w:hAnsi="宋体" w:eastAsia="宋体" w:cs="宋体"/>
          <w:b/>
          <w:bCs/>
          <w:kern w:val="0"/>
          <w:sz w:val="24"/>
          <w:szCs w:val="24"/>
        </w:rPr>
        <w:t>“牵头方的全称（联合体牵头方）”</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1.2涉及投标人</w:t>
      </w:r>
      <w:r>
        <w:rPr>
          <w:rFonts w:ascii="宋体" w:hAnsi="宋体" w:eastAsia="宋体" w:cs="宋体"/>
          <w:b/>
          <w:bCs/>
          <w:kern w:val="0"/>
          <w:sz w:val="24"/>
          <w:szCs w:val="24"/>
        </w:rPr>
        <w:t>“加盖单位公章”</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加盖投标人的单位公章</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加盖联合体牵头方的单位公章</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1.3涉及</w:t>
      </w:r>
      <w:r>
        <w:rPr>
          <w:rFonts w:ascii="宋体" w:hAnsi="宋体" w:eastAsia="宋体" w:cs="宋体"/>
          <w:b/>
          <w:bCs/>
          <w:kern w:val="0"/>
          <w:sz w:val="24"/>
          <w:szCs w:val="24"/>
        </w:rPr>
        <w:t>“投标人代表签字”</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（1）不接受联合体投标的，指由</w:t>
      </w:r>
      <w:r>
        <w:rPr>
          <w:rFonts w:ascii="宋体" w:hAnsi="宋体" w:eastAsia="宋体" w:cs="宋体"/>
          <w:b/>
          <w:bCs/>
          <w:kern w:val="0"/>
          <w:sz w:val="24"/>
          <w:szCs w:val="24"/>
        </w:rPr>
        <w:t>投标人的单位负责人或其授权的委托代理人签字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（2）接受联合体投标且投标人为联合体的，指由</w:t>
      </w:r>
      <w:r>
        <w:rPr>
          <w:rFonts w:ascii="宋体" w:hAnsi="宋体" w:eastAsia="宋体" w:cs="宋体"/>
          <w:b/>
          <w:bCs/>
          <w:kern w:val="0"/>
          <w:sz w:val="24"/>
          <w:szCs w:val="24"/>
        </w:rPr>
        <w:t>联合体牵头方的单位负责人或其授权的委托代理人签字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1.4</w:t>
      </w:r>
      <w:r>
        <w:rPr>
          <w:rFonts w:ascii="宋体" w:hAnsi="宋体" w:eastAsia="宋体" w:cs="宋体"/>
          <w:b/>
          <w:bCs/>
          <w:kern w:val="0"/>
          <w:sz w:val="24"/>
          <w:szCs w:val="24"/>
        </w:rPr>
        <w:t>“其他组织”</w:t>
      </w:r>
      <w:r>
        <w:rPr>
          <w:rFonts w:ascii="宋体" w:hAnsi="宋体" w:eastAsia="宋体" w:cs="宋体"/>
          <w:kern w:val="0"/>
          <w:sz w:val="24"/>
          <w:szCs w:val="24"/>
        </w:rPr>
        <w:t>指合伙企业、非企业专业服务机构、个体工商户、农村承包经营户等。</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1.5</w:t>
      </w:r>
      <w:r>
        <w:rPr>
          <w:rFonts w:ascii="宋体" w:hAnsi="宋体" w:eastAsia="宋体" w:cs="宋体"/>
          <w:b/>
          <w:bCs/>
          <w:kern w:val="0"/>
          <w:sz w:val="24"/>
          <w:szCs w:val="24"/>
        </w:rPr>
        <w:t>“自然人”</w:t>
      </w:r>
      <w:r>
        <w:rPr>
          <w:rFonts w:ascii="宋体" w:hAnsi="宋体" w:eastAsia="宋体" w:cs="宋体"/>
          <w:kern w:val="0"/>
          <w:sz w:val="24"/>
          <w:szCs w:val="24"/>
        </w:rPr>
        <w:t>指具有完全民事行为能力、能够承担民事责任和义务的中国公民。</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2、除招标文件另有规定外，本章中</w:t>
      </w:r>
      <w:r>
        <w:rPr>
          <w:rFonts w:ascii="宋体" w:hAnsi="宋体" w:eastAsia="宋体" w:cs="宋体"/>
          <w:b/>
          <w:bCs/>
          <w:kern w:val="0"/>
          <w:sz w:val="24"/>
          <w:szCs w:val="24"/>
        </w:rPr>
        <w:t>“投标人的资格及资信证明文件”</w:t>
      </w:r>
      <w:r>
        <w:rPr>
          <w:rFonts w:ascii="宋体" w:hAnsi="宋体" w:eastAsia="宋体" w:cs="宋体"/>
          <w:kern w:val="0"/>
          <w:sz w:val="24"/>
          <w:szCs w:val="24"/>
        </w:rPr>
        <w:t>：</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2.1投标人应按照招标文件第四章第</w:t>
      </w:r>
      <w:r>
        <w:rPr>
          <w:rFonts w:ascii="Calibri" w:hAnsi="Calibri" w:eastAsia="宋体" w:cs="宋体"/>
          <w:kern w:val="0"/>
          <w:sz w:val="24"/>
          <w:szCs w:val="24"/>
        </w:rPr>
        <w:t>1.3</w:t>
      </w:r>
      <w:r>
        <w:rPr>
          <w:rFonts w:ascii="宋体" w:hAnsi="宋体" w:eastAsia="宋体" w:cs="宋体"/>
          <w:kern w:val="0"/>
          <w:sz w:val="24"/>
          <w:szCs w:val="24"/>
        </w:rPr>
        <w:t>条第（</w:t>
      </w:r>
      <w:r>
        <w:rPr>
          <w:rFonts w:ascii="Calibri" w:hAnsi="Calibri" w:eastAsia="宋体" w:cs="宋体"/>
          <w:kern w:val="0"/>
          <w:sz w:val="24"/>
          <w:szCs w:val="24"/>
        </w:rPr>
        <w:t>2</w:t>
      </w:r>
      <w:r>
        <w:rPr>
          <w:rFonts w:ascii="宋体" w:hAnsi="宋体" w:eastAsia="宋体" w:cs="宋体"/>
          <w:kern w:val="0"/>
          <w:sz w:val="24"/>
          <w:szCs w:val="24"/>
        </w:rPr>
        <w:t>）款规定及本章规定进行编制，如有必要，可增加附页，附页作为资格及资信文件的组成部分。</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2.2接受联合体投标且投标人为联合体的，联合体中的各方均应按照本章第</w:t>
      </w:r>
      <w:r>
        <w:rPr>
          <w:rFonts w:ascii="Calibri" w:hAnsi="Calibri" w:eastAsia="宋体" w:cs="宋体"/>
          <w:kern w:val="0"/>
          <w:sz w:val="24"/>
          <w:szCs w:val="24"/>
        </w:rPr>
        <w:t>2.1</w:t>
      </w:r>
      <w:r>
        <w:rPr>
          <w:rFonts w:ascii="宋体" w:hAnsi="宋体" w:eastAsia="宋体" w:cs="宋体"/>
          <w:kern w:val="0"/>
          <w:sz w:val="24"/>
          <w:szCs w:val="24"/>
        </w:rPr>
        <w:t>条规定提交相应的全部资料。</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3、投标人对投标文件的索引应编制页码。</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4、除招标文件另有规定外，本章中：</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4.2除《检察机关行贿犯罪档案查询结果告知函》外，若投标人提供注明“复印件无效”的证明材料或资料，其纸质投标文件正本中应提供原件。</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ascii="宋体" w:hAnsi="宋体" w:eastAsia="宋体" w:cs="宋体"/>
          <w:kern w:val="0"/>
          <w:sz w:val="24"/>
          <w:szCs w:val="24"/>
        </w:rPr>
        <w:t>4.3《检察机关行贿犯罪档案查询结果告知函》：投标人在纸质投标文件正本中提供原件、复印件（含扫描件）、符合本章规定的打印件（或截图）皆可。</w:t>
      </w:r>
    </w:p>
    <w:p>
      <w:pPr>
        <w:widowControl/>
        <w:spacing w:before="100" w:beforeAutospacing="1" w:after="100" w:afterAutospacing="1" w:line="360" w:lineRule="auto"/>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jc w:val="center"/>
        <w:rPr>
          <w:rFonts w:hint="eastAsia" w:ascii="宋体" w:hAnsi="宋体" w:eastAsia="宋体" w:cs="宋体"/>
          <w:b/>
          <w:bCs/>
          <w:kern w:val="0"/>
          <w:sz w:val="29"/>
        </w:rPr>
      </w:pPr>
      <w:r>
        <w:rPr>
          <w:rFonts w:hint="eastAsia" w:ascii="宋体" w:hAnsi="宋体" w:eastAsia="宋体" w:cs="宋体"/>
          <w:b/>
          <w:bCs/>
          <w:kern w:val="0"/>
          <w:sz w:val="29"/>
        </w:rPr>
        <w:br w:type="page"/>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rPr>
        <w:t>封面格式</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（资格及资信证明部分）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备案编号：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sz w:val="29"/>
        </w:rPr>
        <w:t>索引</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9"/>
          <w:szCs w:val="29"/>
        </w:rPr>
        <w:t>一、投标函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9"/>
          <w:szCs w:val="29"/>
        </w:rPr>
        <w:t>二、投标人的资格及资信证明文件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9"/>
          <w:szCs w:val="29"/>
        </w:rPr>
        <w:t>三、投标保证金</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资格及资信证明部分中不得出现报价部分的全部或部分的投标报价信息（或组成资料），否则</w:t>
      </w:r>
      <w:r>
        <w:rPr>
          <w:rFonts w:ascii="宋体" w:hAnsi="宋体" w:eastAsia="宋体" w:cs="宋体"/>
          <w:b/>
          <w:bCs/>
          <w:kern w:val="0"/>
        </w:rPr>
        <w:t>资格审查不合格</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一、投标函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兹收到贵单位关于</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）的投标邀请，本投标人代表</w:t>
      </w:r>
      <w:r>
        <w:rPr>
          <w:rFonts w:ascii="宋体" w:hAnsi="宋体" w:eastAsia="宋体" w:cs="宋体"/>
          <w:kern w:val="0"/>
          <w:szCs w:val="21"/>
          <w:u w:val="single"/>
        </w:rPr>
        <w:t>（填写“全名”）</w:t>
      </w:r>
      <w:r>
        <w:rPr>
          <w:rFonts w:ascii="宋体" w:hAnsi="宋体" w:eastAsia="宋体" w:cs="宋体"/>
          <w:kern w:val="0"/>
          <w:szCs w:val="21"/>
        </w:rPr>
        <w:t>已获得我方正式授权并代表投标人</w:t>
      </w:r>
      <w:r>
        <w:rPr>
          <w:rFonts w:ascii="宋体" w:hAnsi="宋体" w:eastAsia="宋体" w:cs="宋体"/>
          <w:kern w:val="0"/>
          <w:szCs w:val="21"/>
          <w:u w:val="single"/>
        </w:rPr>
        <w:t>（填写“全称”）</w:t>
      </w:r>
      <w:r>
        <w:rPr>
          <w:rFonts w:ascii="宋体" w:hAnsi="宋体" w:eastAsia="宋体" w:cs="宋体"/>
          <w:kern w:val="0"/>
          <w:szCs w:val="21"/>
        </w:rPr>
        <w:t>参加投标，并提交招标文件规定份数的投标文件正本和副本。我方提交的全部投标文件均由下述部分组成：</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（1）资格及资信证明部分</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投标函</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投标人的资格及资信证明文件</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投标保证金</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（2）报价部分</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开标一览表</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投标分项报价表</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招标文件规定的价格扣除证明材料（若有）</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招标文件规定的加分证明材料（若有）</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（3）技术商务部分</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标的说明一览表</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技术和服务要求响应表</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商务条件响应表</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投标人提交的其他资料（若有）</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根据本函，本投标人代表宣布我方保证遵守招标文件的全部规定，同时：</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w:t>
      </w:r>
      <w:r>
        <w:rPr>
          <w:rFonts w:ascii="宋体" w:hAnsi="宋体" w:eastAsia="宋体" w:cs="宋体"/>
          <w:b/>
          <w:bCs/>
          <w:kern w:val="0"/>
        </w:rPr>
        <w:t>确认：</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1.1所投合同包的投标报价详见“开标一览表”及“投标分项报价表”。</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1.2我方已详细审查全部招标文件</w:t>
      </w:r>
      <w:r>
        <w:rPr>
          <w:rFonts w:ascii="Calibri" w:hAnsi="Calibri" w:eastAsia="宋体" w:cs="宋体"/>
          <w:kern w:val="0"/>
          <w:szCs w:val="21"/>
        </w:rPr>
        <w:t>[</w:t>
      </w:r>
      <w:r>
        <w:rPr>
          <w:rFonts w:ascii="宋体" w:hAnsi="宋体" w:eastAsia="宋体" w:cs="宋体"/>
          <w:kern w:val="0"/>
          <w:szCs w:val="21"/>
        </w:rPr>
        <w:t>包括但不限于：有关附件（若有）、澄清或修改（若有）等</w:t>
      </w:r>
      <w:r>
        <w:rPr>
          <w:rFonts w:ascii="Calibri" w:hAnsi="Calibri" w:eastAsia="宋体" w:cs="宋体"/>
          <w:kern w:val="0"/>
          <w:szCs w:val="21"/>
        </w:rPr>
        <w:t>]</w:t>
      </w:r>
      <w:r>
        <w:rPr>
          <w:rFonts w:ascii="宋体" w:hAnsi="宋体" w:eastAsia="宋体" w:cs="宋体"/>
          <w:kern w:val="0"/>
          <w:szCs w:val="21"/>
        </w:rPr>
        <w:t>，并自行承担因对全部招标文件理解不正确或误解而产生的相应后果和责任。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w:t>
      </w:r>
      <w:r>
        <w:rPr>
          <w:rFonts w:ascii="宋体" w:hAnsi="宋体" w:eastAsia="宋体" w:cs="宋体"/>
          <w:b/>
          <w:bCs/>
          <w:kern w:val="0"/>
        </w:rPr>
        <w:t>承诺及声明：</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2.1我方具备招标文件第一章载明的“投标人的资格要求”且符合招标文件第三章载明的“二、投标人”之规定，否则</w:t>
      </w:r>
      <w:r>
        <w:rPr>
          <w:rFonts w:ascii="宋体" w:hAnsi="宋体" w:eastAsia="宋体" w:cs="宋体"/>
          <w:b/>
          <w:bCs/>
          <w:kern w:val="0"/>
        </w:rPr>
        <w:t>投标无效。</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2.2我方提交的投标文件各组成部分的全部内容及资料是不可割离且真实、有效、准确、完整和不具有任何误导性的，否则产生不利后果由我方承担责任。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2.3我方提供的标的价格不高于同期市场价格，否则产生不利后果由我方承担责任。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2.4投标保证金：若出现招标文件第三章规定的不予退还情形，同意贵单位不予退还。</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2.5投标有效期：按照招标文件第三章规定执行，并在招标文件第二章载明的期限内保持有效。</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2.6若中标，将按照招标文件、我方投标文件及政府采购合同履行责任和义务。</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2.7若贵单位要求，我方同意提供与本项目投标有关的一切资料、数据或文件，并完全理解贵单位不一定要接受最低的投标报价或收到的任何投标。</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2.8除招标文件另有规定外，对于贵单位按照下述联络方式发出的任何信息或通知，均视为我方已收悉前述信息或通知的全部内容：</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通信地址：</w:t>
      </w:r>
      <w:r>
        <w:rPr>
          <w:rFonts w:ascii="宋体" w:hAnsi="宋体" w:eastAsia="宋体" w:cs="宋体"/>
          <w:kern w:val="0"/>
          <w:szCs w:val="21"/>
          <w:u w:val="single"/>
        </w:rPr>
        <w:t>                                        </w:t>
      </w:r>
      <w:r>
        <w:rPr>
          <w:rFonts w:ascii="宋体" w:hAnsi="宋体" w:eastAsia="宋体" w:cs="宋体"/>
          <w:kern w:val="0"/>
          <w:szCs w:val="21"/>
        </w:rPr>
        <w:t>邮编：</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联系方法：</w:t>
      </w:r>
      <w:r>
        <w:rPr>
          <w:rFonts w:ascii="宋体" w:hAnsi="宋体" w:eastAsia="宋体" w:cs="宋体"/>
          <w:kern w:val="0"/>
          <w:szCs w:val="21"/>
          <w:u w:val="single"/>
        </w:rPr>
        <w:t>（包括但不限于：联系人、联系电话、手机、传真、电子邮箱等）</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二、投标人的资格及资信证明文件</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二-1单位负责人授权书（若有）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我方的单位负责人</w:t>
      </w:r>
      <w:r>
        <w:rPr>
          <w:rFonts w:ascii="宋体" w:hAnsi="宋体" w:eastAsia="宋体" w:cs="宋体"/>
          <w:kern w:val="0"/>
          <w:szCs w:val="21"/>
          <w:u w:val="single"/>
        </w:rPr>
        <w:t>（填写“单位负责人全名”）</w:t>
      </w:r>
      <w:r>
        <w:rPr>
          <w:rFonts w:ascii="宋体" w:hAnsi="宋体" w:eastAsia="宋体" w:cs="宋体"/>
          <w:kern w:val="0"/>
          <w:szCs w:val="21"/>
        </w:rPr>
        <w:t>授权</w:t>
      </w:r>
      <w:r>
        <w:rPr>
          <w:rFonts w:ascii="宋体" w:hAnsi="宋体" w:eastAsia="宋体" w:cs="宋体"/>
          <w:kern w:val="0"/>
          <w:szCs w:val="21"/>
          <w:u w:val="single"/>
        </w:rPr>
        <w:t>（填写“投标人代表全名”）</w:t>
      </w:r>
      <w:r>
        <w:rPr>
          <w:rFonts w:ascii="宋体" w:hAnsi="宋体" w:eastAsia="宋体" w:cs="宋体"/>
          <w:kern w:val="0"/>
          <w:szCs w:val="21"/>
        </w:rPr>
        <w:t>为投标人代表，代表我方参加</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投标人代表无转委权。特此授权。</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（以下无正文）</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单位负责人：</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授权方</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单位负责人签字或盖章：</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接受授权方</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附：单位负责人、投标人代表的身份证正反面复印件</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b/>
                <w:bCs/>
                <w:kern w:val="0"/>
              </w:rPr>
              <w:t>要求：真实有效且内容完整、清晰、整洁。</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b/>
                <w:bCs/>
                <w:kern w:val="0"/>
              </w:rPr>
              <w:t> </w:t>
            </w:r>
          </w:p>
        </w:tc>
      </w:tr>
    </w:tbl>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kern w:val="0"/>
          <w:szCs w:val="21"/>
        </w:rPr>
        <w:br w:type="textWrapping"/>
      </w:r>
      <w:r>
        <w:rPr>
          <w:rFonts w:ascii="宋体" w:hAnsi="宋体" w:eastAsia="宋体" w:cs="宋体"/>
          <w:kern w:val="0"/>
          <w:szCs w:val="21"/>
        </w:rPr>
        <w:t>4、投标人为自然人的，可不填写本授权书。</w:t>
      </w:r>
      <w:r>
        <w:rPr>
          <w:rFonts w:ascii="宋体" w:hAnsi="宋体" w:eastAsia="宋体" w:cs="宋体"/>
          <w:kern w:val="0"/>
          <w:szCs w:val="21"/>
        </w:rPr>
        <w:br w:type="textWrapping"/>
      </w:r>
      <w:r>
        <w:rPr>
          <w:rFonts w:ascii="宋体" w:hAnsi="宋体" w:eastAsia="宋体" w:cs="宋体"/>
          <w:kern w:val="0"/>
          <w:szCs w:val="21"/>
        </w:rPr>
        <w:t xml:space="preserve">5、纸质投标文件正本中的本授权书（若有）应为原件。 </w:t>
      </w:r>
    </w:p>
    <w:p>
      <w:pPr>
        <w:widowControl/>
        <w:spacing w:before="100" w:beforeAutospacing="1" w:after="100" w:afterAutospacing="1" w:line="360" w:lineRule="auto"/>
        <w:jc w:val="left"/>
        <w:rPr>
          <w:rFonts w:ascii="宋体" w:hAnsi="宋体" w:eastAsia="宋体" w:cs="宋体"/>
          <w:kern w:val="0"/>
          <w:sz w:val="24"/>
          <w:szCs w:val="24"/>
        </w:rPr>
      </w:pP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二-2营业执照等证明文件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）投标人为法人（包括企业、事业单位和社会团体）的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签发的我方统一社会信用代码</w:t>
      </w:r>
      <w:r>
        <w:rPr>
          <w:rFonts w:ascii="宋体" w:hAnsi="宋体" w:eastAsia="宋体" w:cs="宋体"/>
          <w:kern w:val="0"/>
          <w:szCs w:val="21"/>
          <w:u w:val="single"/>
        </w:rPr>
        <w:t>（请填写法人的具体证照名称）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）投标人为非法人（包括其他组织、自然人）的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（请填写非自然人的非法人的具体证照名称）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（请填写自然人的身份证件名称）</w:t>
      </w:r>
      <w:r>
        <w:rPr>
          <w:rFonts w:ascii="宋体" w:hAnsi="宋体" w:eastAsia="宋体" w:cs="宋体"/>
          <w:kern w:val="0"/>
          <w:szCs w:val="21"/>
        </w:rPr>
        <w:t>复印件，该证明材料真实有效，否则我方负全部责任。</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1、请投标人按照实际情况编制填写，在相应的（）中打“√”并选择相应的“□”（若有）后，再按照本格式的要求提供相应证明材料的复印件。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3、投标人提供的相应证明材料复印件均应符合：内容完整、清晰、整洁，并由投标人加盖其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二-3财务状况报告（财务报告、或资信证明、或投标担保函）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）投标人提供财务报告的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□企业适用：现附上我方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财务报告复印件，包括资产负债表、利润表、现金流量表、所有者权益变动表（若有）及其附注（若有），上述证明材料真实有效，否则我方负全部责任。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□事业单位适用：现附上我方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财务报告复印件，包括资产负债表、收入支出表（或收入费用表）、财政补助收入支出表（若有），上述证明材料真实有效，否则我方负全部责任。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□社会团体适用：现附上我方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财务报告复印件，包括资产负债表、业务活动表、现金流量表，上述证明材料真实有效，否则我方负全部责任。</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）投标人提供资信证明的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□自然人适用：现附上我方银行：</w:t>
      </w:r>
      <w:r>
        <w:rPr>
          <w:rFonts w:ascii="宋体" w:hAnsi="宋体" w:eastAsia="宋体" w:cs="宋体"/>
          <w:kern w:val="0"/>
          <w:szCs w:val="21"/>
          <w:u w:val="single"/>
        </w:rPr>
        <w:t>（填写自然人的“个人账户的开户银行全称”）</w:t>
      </w:r>
      <w:r>
        <w:rPr>
          <w:rFonts w:ascii="宋体" w:hAnsi="宋体" w:eastAsia="宋体" w:cs="宋体"/>
          <w:kern w:val="0"/>
          <w:szCs w:val="21"/>
        </w:rPr>
        <w:t>出具的资信证明复印件，上述证明材料真实有效，否则我方负全部责任。</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）投标人提供投标担保函的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现附上由财政部门认可的政府采购专业担保机构：</w:t>
      </w:r>
      <w:r>
        <w:rPr>
          <w:rFonts w:ascii="宋体" w:hAnsi="宋体" w:eastAsia="宋体" w:cs="宋体"/>
          <w:kern w:val="0"/>
          <w:szCs w:val="21"/>
          <w:u w:val="single"/>
        </w:rPr>
        <w:t>（填写“担保机构全称”）</w:t>
      </w:r>
      <w:r>
        <w:rPr>
          <w:rFonts w:ascii="宋体" w:hAnsi="宋体" w:eastAsia="宋体" w:cs="宋体"/>
          <w:kern w:val="0"/>
          <w:szCs w:val="21"/>
        </w:rPr>
        <w:t>出具的投标担保函复印件，上述证明材料真实有效，否则我方负全部责任。</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2、投标人提供的财务报告复印件（成立年限按照投标截止时间推算）应符合下列规定：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2.1成立年限满</w:t>
      </w:r>
      <w:r>
        <w:rPr>
          <w:rFonts w:ascii="Calibri" w:hAnsi="Calibri" w:eastAsia="宋体" w:cs="宋体"/>
          <w:kern w:val="0"/>
          <w:szCs w:val="21"/>
        </w:rPr>
        <w:t>1</w:t>
      </w:r>
      <w:r>
        <w:rPr>
          <w:rFonts w:ascii="宋体" w:hAnsi="宋体" w:eastAsia="宋体" w:cs="宋体"/>
          <w:kern w:val="0"/>
          <w:szCs w:val="21"/>
        </w:rPr>
        <w:t>年及以上的投标人，提供经审计的上一年度的年度财务报告。</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2.2成立年限满半年但不足</w:t>
      </w:r>
      <w:r>
        <w:rPr>
          <w:rFonts w:ascii="Calibri" w:hAnsi="Calibri" w:eastAsia="宋体" w:cs="宋体"/>
          <w:kern w:val="0"/>
          <w:szCs w:val="21"/>
        </w:rPr>
        <w:t>1</w:t>
      </w:r>
      <w:r>
        <w:rPr>
          <w:rFonts w:ascii="宋体" w:hAnsi="宋体" w:eastAsia="宋体" w:cs="宋体"/>
          <w:kern w:val="0"/>
          <w:szCs w:val="21"/>
        </w:rPr>
        <w:t>年的投标人，提供该半年度中任一季度的季度财务报告或该半年度的半年度财务报告。</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w:t>
      </w:r>
      <w:r>
        <w:rPr>
          <w:rFonts w:ascii="Calibri" w:hAnsi="Calibri" w:eastAsia="宋体" w:cs="宋体"/>
          <w:kern w:val="0"/>
          <w:szCs w:val="21"/>
        </w:rPr>
        <w:t>[2012]124</w:t>
      </w:r>
      <w:r>
        <w:rPr>
          <w:rFonts w:ascii="宋体" w:hAnsi="宋体" w:eastAsia="宋体" w:cs="宋体"/>
          <w:kern w:val="0"/>
          <w:szCs w:val="21"/>
        </w:rPr>
        <w:t>号）的规定。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二</w:t>
      </w:r>
      <w:r>
        <w:rPr>
          <w:rFonts w:ascii="宋体" w:hAnsi="宋体" w:eastAsia="宋体" w:cs="宋体"/>
          <w:b/>
          <w:bCs/>
          <w:kern w:val="0"/>
        </w:rPr>
        <w:t>-4依法缴纳税收证明材料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1、依法缴纳税收的投标人</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（按照投标人实际缴纳的税种名称填写，如：增值税、所得税等）</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2、依法免税的投标人</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）现附上我方依法免税证明材料复印件，上述证明材料真实有效，否则我方负全部责任。</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2、投标人提供的税收凭据复印件应符合下列规定：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2.1投标截止时间前（不含投标截止时间的当月）已依法缴纳税收的投标人，提供投标截止时间前六个月（不含投标截止时间的当月）中任一月份的税收凭据复印件。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2.2投标截止时间的当月成立且已依法缴纳税收的投标人，提供投标截止时间当月的税收凭据复印件。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2.3投标截止时间的当月成立但因税务机关原因导致其尚未依法缴纳税收的投标人，提供依法缴纳税收承诺书原件（格式自拟），该承诺书视同税收凭据。</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rPr>
        <w:t>“依法缴纳税收证明材料”</w:t>
      </w:r>
      <w:r>
        <w:rPr>
          <w:rFonts w:ascii="宋体" w:hAnsi="宋体" w:eastAsia="宋体" w:cs="宋体"/>
          <w:kern w:val="0"/>
          <w:szCs w:val="21"/>
        </w:rPr>
        <w:t>有欠缴记录的，视为</w:t>
      </w:r>
      <w:r>
        <w:rPr>
          <w:rFonts w:ascii="宋体" w:hAnsi="宋体" w:eastAsia="宋体" w:cs="宋体"/>
          <w:b/>
          <w:bCs/>
          <w:kern w:val="0"/>
        </w:rPr>
        <w:t>未依法缴纳税收。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二-5依法缴纳社会保障资金证明材料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1、依法缴纳社会保障资金的投标人</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2、依法不需要缴纳社会保障资金的投标人</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）现附上我方依法不需要缴纳社会保障资金证明材料复印件，上述证明材料真实有效，否则我方负全部责任。</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2、投标人提供的社会保险凭据复印件应符合下列规定：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2.1投标截止时间前（不含投标截止时间的当月）已依法缴纳社会保障资金的投标人，提供投标截止时间前六个月（不含投标截止时间的当月）中任一月份的社会保险凭据复印件。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2.2投标截止时间的当月成立且已依法缴纳社会保障资金的投标人，提供投标截止时间当月的社会保险凭据复印件。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2.3投标截止时间的当月成立但因税务机关</w:t>
      </w:r>
      <w:r>
        <w:rPr>
          <w:rFonts w:ascii="Calibri" w:hAnsi="Calibri" w:eastAsia="宋体" w:cs="宋体"/>
          <w:kern w:val="0"/>
          <w:szCs w:val="21"/>
        </w:rPr>
        <w:t>/</w:t>
      </w:r>
      <w:r>
        <w:rPr>
          <w:rFonts w:ascii="宋体" w:hAnsi="宋体" w:eastAsia="宋体" w:cs="宋体"/>
          <w:kern w:val="0"/>
          <w:szCs w:val="21"/>
        </w:rPr>
        <w:t>社会保障资金管理机关原因导致其尚未依法缴纳社会保障资金的投标人，提供依法缴纳社会保障资金承诺书原件（格式自拟），该承诺书视同社会保险凭据。</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rPr>
        <w:t>“依法缴纳社会保障资金证明材料”</w:t>
      </w:r>
      <w:r>
        <w:rPr>
          <w:rFonts w:ascii="宋体" w:hAnsi="宋体" w:eastAsia="宋体" w:cs="宋体"/>
          <w:kern w:val="0"/>
          <w:szCs w:val="21"/>
        </w:rPr>
        <w:t>有欠缴记录的，视为</w:t>
      </w:r>
      <w:r>
        <w:rPr>
          <w:rFonts w:ascii="宋体" w:hAnsi="宋体" w:eastAsia="宋体" w:cs="宋体"/>
          <w:b/>
          <w:bCs/>
          <w:kern w:val="0"/>
        </w:rPr>
        <w:t>未依法缴纳社会保障资金。</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kern w:val="0"/>
          <w:szCs w:val="21"/>
        </w:rPr>
      </w:pPr>
      <w:r>
        <w:rPr>
          <w:rFonts w:ascii="Calibri" w:hAnsi="Calibri" w:eastAsia="宋体" w:cs="宋体"/>
          <w:kern w:val="0"/>
          <w:szCs w:val="21"/>
        </w:rPr>
        <w:br w:type="textWrapping"/>
      </w:r>
    </w:p>
    <w:p>
      <w:pPr>
        <w:widowControl/>
        <w:jc w:val="center"/>
        <w:rPr>
          <w:rFonts w:hint="eastAsia" w:ascii="宋体" w:hAnsi="宋体" w:eastAsia="宋体" w:cs="宋体"/>
          <w:kern w:val="0"/>
          <w:szCs w:val="21"/>
        </w:rPr>
      </w:pPr>
      <w:r>
        <w:rPr>
          <w:rFonts w:hint="eastAsia" w:ascii="宋体" w:hAnsi="宋体" w:eastAsia="宋体" w:cs="宋体"/>
          <w:kern w:val="0"/>
          <w:szCs w:val="21"/>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二</w:t>
      </w:r>
      <w:r>
        <w:rPr>
          <w:rFonts w:ascii="宋体" w:hAnsi="宋体" w:eastAsia="宋体" w:cs="宋体"/>
          <w:b/>
          <w:bCs/>
          <w:kern w:val="0"/>
        </w:rPr>
        <w:t>-6具备履行合同所必需设备和专业技术能力的声明函（若有）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我方具备履行合同所必需的设备和专业技术能力，否则产生不利后果由我方承担责任。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1、招标文件未要求投标人提供“具备履行合同所必需的设备和专业技术能力专项证明材料”的，投标人应提供本声明函。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2、招标文件要求投标人提供“具备履行合同所必需的设备和专业技术能力专项证明材料”的，投标人可不提供本声明函。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3、纸质投标文件正本中的本声明函（若有）应为原件。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4、请投标人根据实际情况如实声明，否则</w:t>
      </w:r>
      <w:r>
        <w:rPr>
          <w:rFonts w:ascii="宋体" w:hAnsi="宋体" w:eastAsia="宋体" w:cs="宋体"/>
          <w:b/>
          <w:bCs/>
          <w:kern w:val="0"/>
        </w:rPr>
        <w:t>视为提供虚假材料。</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二</w:t>
      </w:r>
      <w:r>
        <w:rPr>
          <w:rFonts w:ascii="宋体" w:hAnsi="宋体" w:eastAsia="宋体" w:cs="宋体"/>
          <w:b/>
          <w:bCs/>
          <w:kern w:val="0"/>
        </w:rPr>
        <w:t>-7参加采购活动前三年内在经营活动中没有重大违法记录书面声明</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参加采购活动前三年内，我方在经营活动中没有重大违法记录，也无行贿犯罪记录，否则产生不利后果由我方承担责任。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1、“重大违法记录”指投标人因违法经营受到刑事处罚或责令停产停业、吊销许可证或执照、较大数额罚款等行政处罚。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2、纸质投标文件正本中的本声明应为原件。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3、请投标人根据实际情况如实声明，否则</w:t>
      </w:r>
      <w:r>
        <w:rPr>
          <w:rFonts w:ascii="宋体" w:hAnsi="宋体" w:eastAsia="宋体" w:cs="宋体"/>
          <w:b/>
          <w:bCs/>
          <w:kern w:val="0"/>
        </w:rPr>
        <w:t>视为提供虚假材料。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二</w:t>
      </w:r>
      <w:r>
        <w:rPr>
          <w:rFonts w:ascii="宋体" w:hAnsi="宋体" w:eastAsia="宋体" w:cs="宋体"/>
          <w:b/>
          <w:bCs/>
          <w:kern w:val="0"/>
        </w:rPr>
        <w:t>-8信用记录查询结果</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现附上截至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r>
        <w:rPr>
          <w:rFonts w:ascii="宋体" w:hAnsi="宋体" w:eastAsia="宋体" w:cs="宋体"/>
          <w:kern w:val="0"/>
          <w:szCs w:val="21"/>
          <w:u w:val="single"/>
        </w:rPr>
        <w:t>   </w:t>
      </w:r>
      <w:r>
        <w:rPr>
          <w:rFonts w:ascii="宋体" w:hAnsi="宋体" w:eastAsia="宋体" w:cs="宋体"/>
          <w:kern w:val="0"/>
          <w:szCs w:val="21"/>
        </w:rPr>
        <w:t>时我方通过“信用中国”网站（</w:t>
      </w:r>
      <w:r>
        <w:rPr>
          <w:rFonts w:ascii="Calibri" w:hAnsi="Calibri" w:eastAsia="宋体" w:cs="宋体"/>
          <w:kern w:val="0"/>
          <w:szCs w:val="21"/>
        </w:rPr>
        <w:t>www.creditchina.gov.cn</w:t>
      </w:r>
      <w:r>
        <w:rPr>
          <w:rFonts w:ascii="宋体" w:hAnsi="宋体" w:eastAsia="宋体" w:cs="宋体"/>
          <w:kern w:val="0"/>
          <w:szCs w:val="21"/>
        </w:rPr>
        <w:t>）获取的我方信用信息查询结果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份、通过中国政府采购网（www.ccgp.gov.cn）获取的我方信用信息查询结果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份，上述信用信息查询结果真实有效，否则我方负全部责任。</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投标人应在招标文件要求的截止时点前分别通过“信用中国”网站（</w:t>
      </w:r>
      <w:r>
        <w:rPr>
          <w:rFonts w:ascii="Calibri" w:hAnsi="Calibri" w:eastAsia="宋体" w:cs="宋体"/>
          <w:kern w:val="0"/>
          <w:szCs w:val="21"/>
        </w:rPr>
        <w:t>www.creditchina.gov.cn</w:t>
      </w:r>
      <w:r>
        <w:rPr>
          <w:rFonts w:ascii="宋体" w:hAnsi="宋体" w:eastAsia="宋体" w:cs="宋体"/>
          <w:kern w:val="0"/>
          <w:szCs w:val="21"/>
        </w:rPr>
        <w:t>）、中国政府采购网（</w:t>
      </w:r>
      <w:r>
        <w:rPr>
          <w:rFonts w:ascii="Calibri" w:hAnsi="Calibri" w:eastAsia="宋体" w:cs="宋体"/>
          <w:kern w:val="0"/>
          <w:szCs w:val="21"/>
        </w:rPr>
        <w:t>www.ccgp.gov.cn</w:t>
      </w:r>
      <w:r>
        <w:rPr>
          <w:rFonts w:ascii="宋体" w:hAnsi="宋体" w:eastAsia="宋体" w:cs="宋体"/>
          <w:kern w:val="0"/>
          <w:szCs w:val="21"/>
        </w:rPr>
        <w:t>）查询并打印相应的信用记录，投标人提供的查询结果应为其通过上述网站获取的信用信息查询结果原始页面的打印件（或截图）。</w:t>
      </w:r>
    </w:p>
    <w:p>
      <w:pPr>
        <w:widowControl/>
        <w:spacing w:before="100" w:beforeAutospacing="1" w:after="100" w:afterAutospacing="1" w:line="360" w:lineRule="auto"/>
        <w:jc w:val="left"/>
        <w:rPr>
          <w:rFonts w:ascii="宋体" w:hAnsi="宋体" w:eastAsia="宋体" w:cs="宋体"/>
          <w:kern w:val="0"/>
          <w:sz w:val="24"/>
          <w:szCs w:val="24"/>
        </w:rPr>
      </w:pP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Calibri" w:hAnsi="Calibri" w:eastAsia="宋体" w:cs="宋体"/>
          <w:b/>
          <w:bCs/>
          <w:kern w:val="0"/>
          <w:szCs w:val="21"/>
        </w:rPr>
      </w:pP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二-9检察机关行贿犯罪档案查询结果告知函</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检察机关行贿犯罪档案查询结果告知函（以下简称：“告知函”）由投标人向住所地或业务发生地检察院申请查询，具体以检察院出具的为准。</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1、未提供行贿犯罪档案查询结果或查询结果表明投标人有行贿犯罪记录的，</w:t>
      </w:r>
      <w:r>
        <w:rPr>
          <w:rFonts w:ascii="宋体" w:hAnsi="宋体" w:eastAsia="宋体" w:cs="宋体"/>
          <w:b/>
          <w:bCs/>
          <w:kern w:val="0"/>
        </w:rPr>
        <w:t>投标无效。</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2、若从检察机关指定网站下载打印或截图告知函，则告知函应为从前述指定网站获取的查询结果原始页面的打印件（或截图），否则</w:t>
      </w:r>
      <w:r>
        <w:rPr>
          <w:rFonts w:ascii="宋体" w:hAnsi="宋体" w:eastAsia="宋体" w:cs="宋体"/>
          <w:b/>
          <w:bCs/>
          <w:kern w:val="0"/>
        </w:rPr>
        <w:t>投标无效。</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3、告知函应在有效期内且内容完整、清晰、整洁，否则</w:t>
      </w:r>
      <w:r>
        <w:rPr>
          <w:rFonts w:ascii="宋体" w:hAnsi="宋体" w:eastAsia="宋体" w:cs="宋体"/>
          <w:b/>
          <w:bCs/>
          <w:kern w:val="0"/>
        </w:rPr>
        <w:t>投标无效。</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4、有效期内的告知函复印件（含扫描件）及符合招标文件第七章规定的打印件（或截图），无论内容中是否注明“复印件无效”，</w:t>
      </w:r>
      <w:r>
        <w:rPr>
          <w:rFonts w:ascii="宋体" w:hAnsi="宋体" w:eastAsia="宋体" w:cs="宋体"/>
          <w:b/>
          <w:bCs/>
          <w:kern w:val="0"/>
        </w:rPr>
        <w:t>均视同有效。</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5、无法获取有效期内检察机关行贿犯罪档案查询结果告知函的，应在《参加采购活动前三年内在经营活动中没有重大违法记录书面声明》中对近三年无行贿犯罪记录进行声明。</w:t>
      </w:r>
    </w:p>
    <w:p>
      <w:pPr>
        <w:widowControl/>
        <w:spacing w:before="100" w:beforeAutospacing="1" w:after="100" w:afterAutospacing="1" w:line="360" w:lineRule="auto"/>
        <w:jc w:val="center"/>
        <w:rPr>
          <w:rFonts w:hint="eastAsia" w:ascii="宋体" w:hAnsi="宋体" w:eastAsia="宋体" w:cs="宋体"/>
          <w:b/>
          <w:bCs/>
          <w:kern w:val="0"/>
        </w:rPr>
      </w:pPr>
      <w:r>
        <w:rPr>
          <w:rFonts w:ascii="宋体" w:hAnsi="宋体"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二-10联合体协议（若有）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兹有</w:t>
      </w:r>
      <w:r>
        <w:rPr>
          <w:rFonts w:ascii="宋体" w:hAnsi="宋体" w:eastAsia="宋体" w:cs="宋体"/>
          <w:kern w:val="0"/>
          <w:szCs w:val="21"/>
          <w:u w:val="single"/>
        </w:rPr>
        <w:t>（填写“联合体中各方的全称”，各方的全称之间请用“、”分割）</w:t>
      </w:r>
      <w:r>
        <w:rPr>
          <w:rFonts w:ascii="宋体" w:hAnsi="宋体" w:eastAsia="宋体" w:cs="宋体"/>
          <w:kern w:val="0"/>
          <w:szCs w:val="21"/>
        </w:rPr>
        <w:t>自愿组成联合体，共同参加</w:t>
      </w:r>
      <w:r>
        <w:rPr>
          <w:rFonts w:ascii="宋体" w:hAnsi="宋体" w:eastAsia="宋体" w:cs="宋体"/>
          <w:kern w:val="0"/>
          <w:szCs w:val="21"/>
          <w:u w:val="single"/>
        </w:rPr>
        <w:t xml:space="preserve">（填写“项目名称”） </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）的投标。现就联合体参加本项目投标的有关事宜达成下列协议：</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一、联合体各方应承担的工作和义务具体如下：</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1、牵头方（</w:t>
      </w:r>
      <w:r>
        <w:rPr>
          <w:rFonts w:ascii="宋体" w:hAnsi="宋体" w:eastAsia="宋体" w:cs="宋体"/>
          <w:kern w:val="0"/>
          <w:szCs w:val="21"/>
          <w:u w:val="single"/>
        </w:rPr>
        <w:t>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2、成员方：</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2.1</w:t>
      </w:r>
      <w:r>
        <w:rPr>
          <w:rFonts w:ascii="宋体" w:hAnsi="宋体" w:eastAsia="宋体" w:cs="宋体"/>
          <w:kern w:val="0"/>
          <w:szCs w:val="21"/>
          <w:u w:val="single"/>
        </w:rPr>
        <w:t>（成员一的全称）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Calibri" w:hAnsi="Calibri" w:eastAsia="宋体" w:cs="宋体"/>
          <w:kern w:val="0"/>
          <w:szCs w:val="21"/>
        </w:rPr>
        <w:t>……</w:t>
      </w:r>
      <w:r>
        <w:rPr>
          <w:rFonts w:ascii="宋体" w:hAnsi="宋体" w:eastAsia="宋体" w:cs="宋体"/>
          <w:kern w:val="0"/>
          <w:szCs w:val="21"/>
        </w:rPr>
        <w:t>。</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二、联合体各方约定：</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1、由</w:t>
      </w:r>
      <w:r>
        <w:rPr>
          <w:rFonts w:ascii="宋体" w:hAnsi="宋体" w:eastAsia="宋体" w:cs="宋体"/>
          <w:kern w:val="0"/>
          <w:szCs w:val="21"/>
          <w:u w:val="single"/>
        </w:rPr>
        <w:t>（填写“牵头方的全称”）</w:t>
      </w:r>
      <w:r>
        <w:rPr>
          <w:rFonts w:ascii="宋体" w:hAnsi="宋体" w:eastAsia="宋体"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2、联合体各方约定由</w:t>
      </w:r>
      <w:r>
        <w:rPr>
          <w:rFonts w:ascii="宋体" w:hAnsi="宋体" w:eastAsia="宋体" w:cs="宋体"/>
          <w:kern w:val="0"/>
          <w:szCs w:val="21"/>
          <w:u w:val="single"/>
        </w:rPr>
        <w:t>（填写“牵头方的全称”）</w:t>
      </w:r>
      <w:r>
        <w:rPr>
          <w:rFonts w:ascii="宋体" w:hAnsi="宋体" w:eastAsia="宋体" w:cs="宋体"/>
          <w:kern w:val="0"/>
          <w:szCs w:val="21"/>
        </w:rPr>
        <w:t>代表联合体办理投标保证金事宜。</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3、</w:t>
      </w:r>
      <w:r>
        <w:rPr>
          <w:rFonts w:ascii="宋体" w:hAnsi="宋体" w:eastAsia="宋体" w:cs="宋体"/>
          <w:color w:val="000000"/>
          <w:kern w:val="0"/>
          <w:szCs w:val="21"/>
        </w:rPr>
        <w:t>根据福建省财政厅文件（闽财购[2008]10号）的规定，若本项目采用综合评分法，则联合体只能确定由其中一方的条件参与商务部分的评标。因此，联合体各方约定以</w:t>
      </w:r>
      <w:r>
        <w:rPr>
          <w:rFonts w:ascii="宋体" w:hAnsi="宋体" w:eastAsia="宋体" w:cs="宋体"/>
          <w:color w:val="000000"/>
          <w:kern w:val="0"/>
          <w:szCs w:val="21"/>
          <w:u w:val="single"/>
        </w:rPr>
        <w:t>（应填写“其中一方的全称”，如：联合体确定以成员一的条件参与商务部分的评标，则填写“成员一的全称”…；否则填写“无”）</w:t>
      </w:r>
      <w:r>
        <w:rPr>
          <w:rFonts w:ascii="宋体" w:hAnsi="宋体" w:eastAsia="宋体" w:cs="宋体"/>
          <w:color w:val="000000"/>
          <w:kern w:val="0"/>
          <w:szCs w:val="21"/>
        </w:rPr>
        <w:t>的条件参与商务部分的评标。</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四、本协议自签署之日起生效，政府采购合同履行完毕后自动失效。</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五、本协议一式</w:t>
      </w:r>
      <w:r>
        <w:rPr>
          <w:rFonts w:ascii="宋体" w:hAnsi="宋体" w:eastAsia="宋体" w:cs="宋体"/>
          <w:kern w:val="0"/>
          <w:szCs w:val="21"/>
          <w:u w:val="single"/>
        </w:rPr>
        <w:t>（填写具体份数）</w:t>
      </w:r>
      <w:r>
        <w:rPr>
          <w:rFonts w:ascii="宋体" w:hAnsi="宋体" w:eastAsia="宋体" w:cs="宋体"/>
          <w:kern w:val="0"/>
          <w:szCs w:val="21"/>
        </w:rPr>
        <w:t>份，联合体各方各执一份，投标文件中提交一份。</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（以下无正文）</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牵头方：</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成员一：</w:t>
      </w:r>
      <w:r>
        <w:rPr>
          <w:rFonts w:ascii="宋体" w:hAnsi="宋体" w:eastAsia="宋体" w:cs="宋体"/>
          <w:kern w:val="0"/>
          <w:szCs w:val="21"/>
          <w:u w:val="single"/>
        </w:rPr>
        <w:t>（全称并加盖成员一的单位公章）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成员**：</w:t>
      </w:r>
      <w:r>
        <w:rPr>
          <w:rFonts w:ascii="宋体" w:hAnsi="宋体" w:eastAsia="宋体" w:cs="宋体"/>
          <w:kern w:val="0"/>
          <w:szCs w:val="21"/>
          <w:u w:val="single"/>
        </w:rPr>
        <w:t>（全称并加盖成员**的单位公章）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1、招标文件接受联合体投标且投标人为联合体的，投标人应提供本协议；否则无须提供。</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2、本协议由委托代理人签字或盖章的，应按照本章载明的格式提供“单位负责人授权书”。</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3、纸质投标文件正本中的本协议（若有）应为原件。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二-11中小企业声明函</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（专门面向中小企业或小型、微型企业适用，若有）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本投标人郑重声明，根据《政府采购促进中小企业发展暂行办法》（财库[2011]181号）的规定，本投标人为</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企业。即本投标人同时满足以下条件：</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1、根据《工业和信息化部、国家统计局、国家发展和改革委员会、财政部关于印发中小企业划型标准规定的通知》（工信部联企业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号）规定的划分标准，本投标人为</w:t>
      </w:r>
      <w:r>
        <w:rPr>
          <w:rFonts w:ascii="宋体" w:hAnsi="宋体" w:eastAsia="宋体" w:cs="宋体"/>
          <w:kern w:val="0"/>
          <w:szCs w:val="21"/>
          <w:u w:val="single"/>
        </w:rPr>
        <w:t>  （填写“中型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2、本投标人参加贵单位组织的</w:t>
      </w:r>
      <w:r>
        <w:rPr>
          <w:rFonts w:ascii="宋体" w:hAnsi="宋体" w:eastAsia="宋体" w:cs="宋体"/>
          <w:kern w:val="0"/>
          <w:szCs w:val="21"/>
          <w:u w:val="single"/>
        </w:rPr>
        <w:t xml:space="preserve"> （填写“项目名称”） </w:t>
      </w:r>
      <w:r>
        <w:rPr>
          <w:rFonts w:ascii="宋体" w:hAnsi="宋体" w:eastAsia="宋体" w:cs="宋体"/>
          <w:kern w:val="0"/>
          <w:szCs w:val="21"/>
        </w:rPr>
        <w:t>项目采购活动，其中：</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货物（不包括使用大型企业注册商标的货物）：</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）提供其他</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工程：</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服务：</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2、投标人应认真对照《工业和信息化部、国家统计局、国家发展和改革委员会、财政部关于印发中小企业划型标准规定的通知》（工信部联企业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号）规定的划分标准，并按照国家统计局现行的关于统计上大中小微型企业划分办法的有关规定准确划分企业类型。</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3、投标人为监狱企业的，可不填写本声明函，根据其提供的由省级以上监狱管理局、戒毒管理局（含新疆生产建设兵团）出具的属于监狱企业的证明文件进行认定，监狱企业视同小型、微型企业。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4、投标人为残疾人福利性单位的，可不填写本声明函，根据其提供的《残疾人福利性单位声明函》（格式附后）进行认定，残疾人福利性单位视同小型、微型企业。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5、纸质投标文件正本中的本声明函（若有）应为原件。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6、若《中小企业声明函》（包括本格式第</w:t>
      </w:r>
      <w:r>
        <w:rPr>
          <w:rFonts w:ascii="Calibri" w:hAnsi="Calibri" w:eastAsia="宋体" w:cs="宋体"/>
          <w:kern w:val="0"/>
          <w:szCs w:val="21"/>
        </w:rPr>
        <w:t>3</w:t>
      </w:r>
      <w:r>
        <w:rPr>
          <w:rFonts w:ascii="宋体" w:hAnsi="宋体" w:eastAsia="宋体" w:cs="宋体"/>
          <w:kern w:val="0"/>
          <w:szCs w:val="21"/>
        </w:rPr>
        <w:t>、</w:t>
      </w:r>
      <w:r>
        <w:rPr>
          <w:rFonts w:ascii="Calibri" w:hAnsi="Calibri" w:eastAsia="宋体" w:cs="宋体"/>
          <w:kern w:val="0"/>
          <w:szCs w:val="21"/>
        </w:rPr>
        <w:t>4</w:t>
      </w:r>
      <w:r>
        <w:rPr>
          <w:rFonts w:ascii="宋体" w:hAnsi="宋体" w:eastAsia="宋体" w:cs="宋体"/>
          <w:kern w:val="0"/>
          <w:szCs w:val="21"/>
        </w:rPr>
        <w:t>条规定的证明文件及声明函）内容不真实，</w:t>
      </w:r>
      <w:r>
        <w:rPr>
          <w:rFonts w:ascii="宋体" w:hAnsi="宋体" w:eastAsia="宋体" w:cs="宋体"/>
          <w:b/>
          <w:bCs/>
          <w:kern w:val="0"/>
        </w:rPr>
        <w:t>视为提供虚假材料。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hint="eastAsia" w:ascii="宋体" w:hAnsi="宋体" w:eastAsia="宋体" w:cs="宋体"/>
          <w:kern w:val="0"/>
          <w:szCs w:val="21"/>
        </w:rPr>
      </w:pPr>
      <w:r>
        <w:rPr>
          <w:rFonts w:ascii="Calibri" w:hAnsi="Calibri" w:eastAsia="宋体" w:cs="宋体"/>
          <w:kern w:val="0"/>
          <w:szCs w:val="21"/>
        </w:rPr>
        <w:br w:type="textWrapping"/>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附：</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残疾人福利性单位声明函</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（专门面向中小企业或小型、微型企业适用，若有）</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line="360" w:lineRule="auto"/>
        <w:ind w:firstLine="420"/>
        <w:jc w:val="left"/>
        <w:outlineLvl w:val="0"/>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服务；或</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rPr>
        <w:t>视为提供虚假材料。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二-12其他资格证明文件（若有）</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 二</w:t>
      </w:r>
      <w:r>
        <w:rPr>
          <w:rFonts w:ascii="宋体" w:hAnsi="宋体" w:eastAsia="宋体" w:cs="宋体"/>
          <w:b/>
          <w:bCs/>
          <w:kern w:val="0"/>
        </w:rPr>
        <w:t>-12-</w:t>
      </w:r>
      <w:r>
        <w:rPr>
          <w:rFonts w:hint="eastAsia" w:ascii="宋体" w:hAnsi="宋体" w:eastAsia="宋体" w:cs="宋体"/>
          <w:b/>
          <w:bCs/>
          <w:kern w:val="0"/>
        </w:rPr>
        <w:t>①</w:t>
      </w:r>
      <w:r>
        <w:rPr>
          <w:rFonts w:ascii="宋体" w:hAnsi="宋体" w:eastAsia="宋体" w:cs="宋体"/>
          <w:b/>
          <w:bCs/>
          <w:kern w:val="0"/>
        </w:rPr>
        <w:t>具备履行合同所必需设备和专业技术能力专项证明材料（若有）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2、投标人提供的相应证明材料复印件均应符合：内容完整、清晰、整洁，并由投标人加盖其单位公章。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二-12-</w:t>
      </w:r>
      <w:r>
        <w:rPr>
          <w:rFonts w:hint="eastAsia" w:ascii="宋体" w:hAnsi="宋体" w:eastAsia="宋体" w:cs="宋体"/>
          <w:b/>
          <w:bCs/>
          <w:kern w:val="0"/>
        </w:rPr>
        <w:t>②</w:t>
      </w:r>
      <w:r>
        <w:rPr>
          <w:rFonts w:ascii="宋体" w:hAnsi="宋体" w:eastAsia="宋体" w:cs="宋体"/>
          <w:b/>
          <w:bCs/>
          <w:kern w:val="0"/>
        </w:rPr>
        <w:t>招标文件规定的其他资格证明文件（若有）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三</w:t>
      </w:r>
      <w:r>
        <w:rPr>
          <w:rFonts w:ascii="宋体" w:hAnsi="宋体" w:eastAsia="宋体" w:cs="宋体"/>
          <w:b/>
          <w:bCs/>
          <w:kern w:val="0"/>
        </w:rPr>
        <w:t>、投标保证金</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rPr>
        <w:t>“投标保证金”</w:t>
      </w:r>
      <w:r>
        <w:rPr>
          <w:rFonts w:ascii="宋体" w:hAnsi="宋体" w:eastAsia="宋体" w:cs="宋体"/>
          <w:kern w:val="0"/>
          <w:szCs w:val="21"/>
        </w:rPr>
        <w:t>材料可使用转账凭证复印件或从福建省政府采购网上公开信息系统中下载的有关原始页面的打印件。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2、投标保证金是否已提交的认定按照招标文件第三章规定执行。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rPr>
        <w:t>封面格式</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（报价部分）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备案编号：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rPr>
        <w:t>索引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一、开标一览表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二、投标分项报价表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三、招标文件规定的价格扣除证明材料（若有）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四、招标文件规定的加分证明材料（若有）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一、开标一览表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380"/>
        <w:gridCol w:w="3828"/>
        <w:gridCol w:w="1134"/>
        <w:gridCol w:w="2178"/>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3828"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投标报价</w:t>
            </w:r>
          </w:p>
        </w:tc>
        <w:tc>
          <w:tcPr>
            <w:tcW w:w="1134"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投标保证金</w:t>
            </w:r>
          </w:p>
        </w:tc>
        <w:tc>
          <w:tcPr>
            <w:tcW w:w="2178"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rPr>
        <w:tc>
          <w:tcPr>
            <w:tcW w:w="1380"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382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投标总价（大写金额）：</w:t>
            </w:r>
            <w:r>
              <w:rPr>
                <w:rFonts w:ascii="宋体" w:hAnsi="宋体" w:eastAsia="宋体" w:cs="宋体"/>
                <w:kern w:val="0"/>
                <w:szCs w:val="21"/>
                <w:u w:val="single"/>
              </w:rPr>
              <w:t>                      </w:t>
            </w:r>
            <w:r>
              <w:rPr>
                <w:rFonts w:ascii="宋体" w:hAnsi="宋体" w:eastAsia="宋体" w:cs="宋体"/>
                <w:kern w:val="0"/>
                <w:szCs w:val="21"/>
              </w:rPr>
              <w:t>。</w:t>
            </w:r>
          </w:p>
        </w:tc>
        <w:tc>
          <w:tcPr>
            <w:tcW w:w="113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2178" w:type="dxa"/>
            <w:vMerge w:val="restar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a.投标报价的明细：详见《投标分项报价表》。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380"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382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投标总价（大写金额）：</w:t>
            </w:r>
            <w:r>
              <w:rPr>
                <w:rFonts w:ascii="宋体" w:hAnsi="宋体" w:eastAsia="宋体" w:cs="宋体"/>
                <w:kern w:val="0"/>
                <w:szCs w:val="21"/>
                <w:u w:val="single"/>
              </w:rPr>
              <w:t>                      </w:t>
            </w:r>
            <w:r>
              <w:rPr>
                <w:rFonts w:ascii="宋体" w:hAnsi="宋体" w:eastAsia="宋体" w:cs="宋体"/>
                <w:kern w:val="0"/>
                <w:szCs w:val="21"/>
              </w:rPr>
              <w:t>。</w:t>
            </w:r>
          </w:p>
        </w:tc>
        <w:tc>
          <w:tcPr>
            <w:tcW w:w="113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2178" w:type="dxa"/>
            <w:vMerge w:val="continue"/>
            <w:tcBorders>
              <w:top w:val="nil"/>
              <w:left w:val="nil"/>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1.1投标人应按照本表格式填写所投的合同包的“投标报价”。</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1.2本表中列示的“合同包”应与《投标分项报价表》中列示的“合同包”保持一致，即：若本表中列示的“合同包”为“</w:t>
      </w:r>
      <w:r>
        <w:rPr>
          <w:rFonts w:ascii="Calibri" w:hAnsi="Calibri" w:eastAsia="宋体" w:cs="宋体"/>
          <w:kern w:val="0"/>
          <w:szCs w:val="21"/>
        </w:rPr>
        <w:t>1</w:t>
      </w:r>
      <w:r>
        <w:rPr>
          <w:rFonts w:ascii="宋体" w:hAnsi="宋体" w:eastAsia="宋体" w:cs="宋体"/>
          <w:kern w:val="0"/>
          <w:szCs w:val="21"/>
        </w:rPr>
        <w:t>”时，《投标分项报价表》中列示的“合同包”亦应为“</w:t>
      </w:r>
      <w:r>
        <w:rPr>
          <w:rFonts w:ascii="Calibri" w:hAnsi="Calibri" w:eastAsia="宋体" w:cs="宋体"/>
          <w:kern w:val="0"/>
          <w:szCs w:val="21"/>
        </w:rPr>
        <w:t>1</w:t>
      </w:r>
      <w:r>
        <w:rPr>
          <w:rFonts w:ascii="宋体" w:hAnsi="宋体" w:eastAsia="宋体" w:cs="宋体"/>
          <w:kern w:val="0"/>
          <w:szCs w:val="21"/>
        </w:rPr>
        <w:t>”，以此类推。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1.3“大写金额”指“投标报价”应用“壹、贰、叁、肆、伍、陆、柒、捌、玖、拾、佰、仟、万、亿、元、角、分、零”等进行填写。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二、投标分项报价表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招标编号：</w:t>
      </w:r>
      <w:r>
        <w:rPr>
          <w:rFonts w:ascii="宋体" w:hAnsi="宋体" w:eastAsia="宋体" w:cs="宋体"/>
          <w:kern w:val="0"/>
          <w:szCs w:val="21"/>
          <w:u w:val="single"/>
        </w:rPr>
        <w:t>                   </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421"/>
        <w:gridCol w:w="958"/>
        <w:gridCol w:w="1556"/>
        <w:gridCol w:w="1272"/>
        <w:gridCol w:w="853"/>
        <w:gridCol w:w="989"/>
        <w:gridCol w:w="569"/>
        <w:gridCol w:w="1093"/>
        <w:gridCol w:w="809"/>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4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958"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品目号</w:t>
            </w:r>
          </w:p>
        </w:tc>
        <w:tc>
          <w:tcPr>
            <w:tcW w:w="1556"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投标标的</w:t>
            </w:r>
          </w:p>
        </w:tc>
        <w:tc>
          <w:tcPr>
            <w:tcW w:w="1272"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规格</w:t>
            </w:r>
          </w:p>
        </w:tc>
        <w:tc>
          <w:tcPr>
            <w:tcW w:w="853"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来源地</w:t>
            </w:r>
          </w:p>
        </w:tc>
        <w:tc>
          <w:tcPr>
            <w:tcW w:w="989"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569"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数量</w:t>
            </w:r>
          </w:p>
        </w:tc>
        <w:tc>
          <w:tcPr>
            <w:tcW w:w="1093"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809"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421" w:type="dxa"/>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95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*-1</w:t>
            </w:r>
          </w:p>
        </w:tc>
        <w:tc>
          <w:tcPr>
            <w:tcW w:w="1556"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272"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853"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8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56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93"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80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421" w:type="dxa"/>
            <w:vMerge w:val="continue"/>
            <w:tcBorders>
              <w:top w:val="nil"/>
              <w:left w:val="single" w:color="666666" w:sz="6" w:space="0"/>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c>
          <w:tcPr>
            <w:tcW w:w="95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556"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272"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853"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8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56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93"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80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421"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95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556"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272"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853"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8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56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93"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809"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宋体"/>
          <w:kern w:val="0"/>
          <w:szCs w:val="21"/>
        </w:rPr>
        <w:t>1</w:t>
      </w:r>
      <w:r>
        <w:rPr>
          <w:rFonts w:ascii="宋体" w:hAnsi="宋体" w:eastAsia="宋体" w:cs="宋体"/>
          <w:kern w:val="0"/>
          <w:szCs w:val="21"/>
        </w:rPr>
        <w:t>”时，本表中列示的“合同包”亦应为“</w:t>
      </w:r>
      <w:r>
        <w:rPr>
          <w:rFonts w:ascii="Calibri" w:hAnsi="Calibri" w:eastAsia="宋体" w:cs="宋体"/>
          <w:kern w:val="0"/>
          <w:szCs w:val="21"/>
        </w:rPr>
        <w:t>1</w:t>
      </w:r>
      <w:r>
        <w:rPr>
          <w:rFonts w:ascii="宋体" w:hAnsi="宋体" w:eastAsia="宋体" w:cs="宋体"/>
          <w:kern w:val="0"/>
          <w:szCs w:val="21"/>
        </w:rPr>
        <w:t>”，以此类推。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1.2“投标标的”为货物的：</w:t>
      </w:r>
      <w:r>
        <w:rPr>
          <w:rFonts w:ascii="宋体" w:hAnsi="宋体" w:eastAsia="宋体" w:cs="宋体"/>
          <w:b/>
          <w:bCs/>
          <w:kern w:val="0"/>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rPr>
        <w:t>“来源地”</w:t>
      </w:r>
      <w:r>
        <w:rPr>
          <w:rFonts w:ascii="宋体" w:hAnsi="宋体" w:eastAsia="宋体" w:cs="宋体"/>
          <w:kern w:val="0"/>
          <w:szCs w:val="21"/>
        </w:rPr>
        <w:t>应填写货物的原产地。</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1.3“投标标的”为服务的：</w:t>
      </w:r>
      <w:r>
        <w:rPr>
          <w:rFonts w:ascii="宋体" w:hAnsi="宋体" w:eastAsia="宋体" w:cs="宋体"/>
          <w:b/>
          <w:bCs/>
          <w:kern w:val="0"/>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rPr>
        <w:t>“来源地”</w:t>
      </w:r>
      <w:r>
        <w:rPr>
          <w:rFonts w:ascii="宋体" w:hAnsi="宋体" w:eastAsia="宋体" w:cs="宋体"/>
          <w:kern w:val="0"/>
          <w:szCs w:val="21"/>
        </w:rPr>
        <w:t>应填写服务提供者的所在地。</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1.4同一合同包中，</w:t>
      </w:r>
      <w:r>
        <w:rPr>
          <w:rFonts w:ascii="宋体" w:hAnsi="宋体" w:eastAsia="宋体" w:cs="宋体"/>
          <w:b/>
          <w:bCs/>
          <w:kern w:val="0"/>
        </w:rPr>
        <w:t>“单价（现场）”</w:t>
      </w:r>
      <w:r>
        <w:rPr>
          <w:rFonts w:ascii="宋体" w:hAnsi="宋体" w:eastAsia="宋体" w:cs="宋体"/>
          <w:kern w:val="0"/>
          <w:szCs w:val="21"/>
        </w:rPr>
        <w:t>×</w:t>
      </w:r>
      <w:r>
        <w:rPr>
          <w:rFonts w:ascii="宋体" w:hAnsi="宋体" w:eastAsia="宋体" w:cs="宋体"/>
          <w:b/>
          <w:bCs/>
          <w:kern w:val="0"/>
        </w:rPr>
        <w:t>“数量”</w:t>
      </w:r>
      <w:r>
        <w:rPr>
          <w:rFonts w:ascii="宋体" w:hAnsi="宋体" w:eastAsia="宋体" w:cs="宋体"/>
          <w:kern w:val="0"/>
          <w:szCs w:val="21"/>
        </w:rPr>
        <w:t>=</w:t>
      </w:r>
      <w:r>
        <w:rPr>
          <w:rFonts w:ascii="宋体" w:hAnsi="宋体" w:eastAsia="宋体" w:cs="宋体"/>
          <w:b/>
          <w:bCs/>
          <w:kern w:val="0"/>
        </w:rPr>
        <w:t>“总价（现场）”</w:t>
      </w:r>
      <w:r>
        <w:rPr>
          <w:rFonts w:ascii="宋体" w:hAnsi="宋体" w:eastAsia="宋体" w:cs="宋体"/>
          <w:kern w:val="0"/>
          <w:szCs w:val="21"/>
        </w:rPr>
        <w:t>，全部品目号</w:t>
      </w:r>
      <w:r>
        <w:rPr>
          <w:rFonts w:ascii="宋体" w:hAnsi="宋体" w:eastAsia="宋体" w:cs="宋体"/>
          <w:b/>
          <w:bCs/>
          <w:kern w:val="0"/>
        </w:rPr>
        <w:t>“总价（现场）”</w:t>
      </w:r>
      <w:r>
        <w:rPr>
          <w:rFonts w:ascii="宋体" w:hAnsi="宋体" w:eastAsia="宋体" w:cs="宋体"/>
          <w:kern w:val="0"/>
          <w:szCs w:val="21"/>
        </w:rPr>
        <w:t>的合计金额应与《开标一览表》中相应合同包列示的</w:t>
      </w:r>
      <w:r>
        <w:rPr>
          <w:rFonts w:ascii="宋体" w:hAnsi="宋体" w:eastAsia="宋体" w:cs="宋体"/>
          <w:b/>
          <w:bCs/>
          <w:kern w:val="0"/>
        </w:rPr>
        <w:t>“投标总价”</w:t>
      </w:r>
      <w:r>
        <w:rPr>
          <w:rFonts w:ascii="宋体" w:hAnsi="宋体" w:eastAsia="宋体" w:cs="宋体"/>
          <w:kern w:val="0"/>
          <w:szCs w:val="21"/>
        </w:rPr>
        <w:t>保持一致。</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1.5若招标文件要求投标人对“备品备件价格、专用工具价格、技术服务费、安装调试费、检验培训费、运输费、保险费、税收”等进行报价的，请在本表的</w:t>
      </w:r>
      <w:r>
        <w:rPr>
          <w:rFonts w:ascii="宋体" w:hAnsi="宋体" w:eastAsia="宋体" w:cs="宋体"/>
          <w:b/>
          <w:bCs/>
          <w:kern w:val="0"/>
        </w:rPr>
        <w:t>“备注”</w:t>
      </w:r>
      <w:r>
        <w:rPr>
          <w:rFonts w:ascii="宋体" w:hAnsi="宋体" w:eastAsia="宋体" w:cs="宋体"/>
          <w:kern w:val="0"/>
          <w:szCs w:val="21"/>
        </w:rPr>
        <w:t>项下填写。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三、招标文件规定的价格扣除证明材料（若有）</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三-1优先类节能产品、环境标志产品价格扣除证明材料（若有）</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三-1-</w:t>
      </w:r>
      <w:r>
        <w:rPr>
          <w:rFonts w:hint="eastAsia" w:ascii="宋体" w:hAnsi="宋体" w:eastAsia="宋体" w:cs="宋体"/>
          <w:b/>
          <w:bCs/>
          <w:kern w:val="0"/>
        </w:rPr>
        <w:t>①</w:t>
      </w:r>
      <w:r>
        <w:rPr>
          <w:rFonts w:ascii="宋体" w:hAnsi="宋体" w:eastAsia="宋体" w:cs="宋体"/>
          <w:b/>
          <w:bCs/>
          <w:kern w:val="0"/>
        </w:rPr>
        <w:t>优先类节能产品、环境标志产品统计表（价格扣除适用，若有）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7305" w:type="dxa"/>
            <w:gridSpan w:val="6"/>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品目号</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货物名称</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数量</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123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*-1</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3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single" w:color="666666" w:sz="6" w:space="0"/>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3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备注</w:t>
            </w:r>
          </w:p>
        </w:tc>
        <w:tc>
          <w:tcPr>
            <w:tcW w:w="7305" w:type="dxa"/>
            <w:gridSpan w:val="6"/>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宋体"/>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1、对节能、环境标志产品计算价格扣除时，只依据投标文件</w:t>
      </w:r>
      <w:r>
        <w:rPr>
          <w:rFonts w:ascii="宋体" w:hAnsi="宋体" w:eastAsia="宋体" w:cs="宋体"/>
          <w:b/>
          <w:bCs/>
          <w:kern w:val="0"/>
        </w:rPr>
        <w:t>“三</w:t>
      </w:r>
      <w:r>
        <w:rPr>
          <w:rFonts w:ascii="Calibri" w:hAnsi="Calibri" w:eastAsia="宋体" w:cs="宋体"/>
          <w:b/>
          <w:bCs/>
          <w:kern w:val="0"/>
        </w:rPr>
        <w:t>-1-</w:t>
      </w:r>
      <w:r>
        <w:rPr>
          <w:rFonts w:hint="eastAsia" w:ascii="宋体" w:hAnsi="宋体" w:eastAsia="宋体" w:cs="宋体"/>
          <w:b/>
          <w:bCs/>
          <w:kern w:val="0"/>
        </w:rPr>
        <w:t>②</w:t>
      </w:r>
      <w:r>
        <w:rPr>
          <w:rFonts w:ascii="宋体" w:hAnsi="宋体" w:eastAsia="宋体" w:cs="宋体"/>
          <w:b/>
          <w:bCs/>
          <w:kern w:val="0"/>
        </w:rPr>
        <w:t>优先类节能产品、环境标志产品证明材料（价格扣除适用，若有）”。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rPr>
        <w:t>视为提供虚假材料。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b/>
          <w:bCs/>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三-1-</w:t>
      </w:r>
      <w:r>
        <w:rPr>
          <w:rFonts w:hint="eastAsia" w:ascii="宋体" w:hAnsi="宋体" w:eastAsia="宋体" w:cs="宋体"/>
          <w:b/>
          <w:bCs/>
          <w:kern w:val="0"/>
        </w:rPr>
        <w:t>②</w:t>
      </w:r>
      <w:r>
        <w:rPr>
          <w:rFonts w:ascii="宋体" w:hAnsi="宋体" w:eastAsia="宋体" w:cs="宋体"/>
          <w:b/>
          <w:bCs/>
          <w:kern w:val="0"/>
        </w:rPr>
        <w:t>优先类节能产品、环境标志产品证明材料（价格扣除适用，若有）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宋体"/>
          <w:kern w:val="0"/>
          <w:szCs w:val="21"/>
        </w:rPr>
        <w:t>13</w:t>
      </w:r>
      <w:r>
        <w:rPr>
          <w:rFonts w:ascii="宋体" w:hAnsi="宋体" w:eastAsia="宋体" w:cs="宋体"/>
          <w:kern w:val="0"/>
          <w:szCs w:val="21"/>
        </w:rPr>
        <w:t>项规定提供相应证明材料。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b/>
          <w:bCs/>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三-2小型、微型企业产品等价格扣除证明材料（若有）</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三-2-</w:t>
      </w:r>
      <w:r>
        <w:rPr>
          <w:rFonts w:hint="eastAsia" w:ascii="宋体" w:hAnsi="宋体" w:eastAsia="宋体" w:cs="宋体"/>
          <w:b/>
          <w:bCs/>
          <w:kern w:val="0"/>
        </w:rPr>
        <w:t>①</w:t>
      </w:r>
      <w:r>
        <w:rPr>
          <w:rFonts w:ascii="宋体" w:hAnsi="宋体" w:eastAsia="宋体" w:cs="宋体"/>
          <w:b/>
          <w:bCs/>
          <w:kern w:val="0"/>
        </w:rPr>
        <w:t>小型、微型企业产品等统计表（价格扣除适用，若有）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7305" w:type="dxa"/>
            <w:gridSpan w:val="7"/>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合同包内属于小型、微型企业产品等的情况</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品目号</w:t>
            </w:r>
          </w:p>
        </w:tc>
        <w:tc>
          <w:tcPr>
            <w:tcW w:w="108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采购标的</w:t>
            </w:r>
          </w:p>
        </w:tc>
        <w:tc>
          <w:tcPr>
            <w:tcW w:w="99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70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数量</w:t>
            </w:r>
          </w:p>
        </w:tc>
        <w:tc>
          <w:tcPr>
            <w:tcW w:w="99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114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制造厂商</w:t>
            </w:r>
          </w:p>
        </w:tc>
        <w:tc>
          <w:tcPr>
            <w:tcW w:w="118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企业类型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*-1</w:t>
            </w:r>
          </w:p>
        </w:tc>
        <w:tc>
          <w:tcPr>
            <w:tcW w:w="108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9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70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9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14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18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single" w:color="666666" w:sz="6" w:space="0"/>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108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9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70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9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14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18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备注</w:t>
            </w:r>
          </w:p>
        </w:tc>
        <w:tc>
          <w:tcPr>
            <w:tcW w:w="7305" w:type="dxa"/>
            <w:gridSpan w:val="7"/>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合同包内属于小型、微型企业产品等的报价总金额：</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注意：1、对小型、微型企业产品等计算价格扣除时，只依据投标文件</w:t>
      </w:r>
      <w:r>
        <w:rPr>
          <w:rFonts w:ascii="宋体" w:hAnsi="宋体" w:eastAsia="宋体" w:cs="宋体"/>
          <w:b/>
          <w:bCs/>
          <w:kern w:val="0"/>
        </w:rPr>
        <w:t>“三</w:t>
      </w:r>
      <w:r>
        <w:rPr>
          <w:rFonts w:ascii="Calibri" w:hAnsi="Calibri" w:eastAsia="宋体" w:cs="宋体"/>
          <w:b/>
          <w:bCs/>
          <w:kern w:val="0"/>
        </w:rPr>
        <w:t>-2-</w:t>
      </w:r>
      <w:r>
        <w:rPr>
          <w:rFonts w:hint="eastAsia" w:ascii="宋体" w:hAnsi="宋体" w:eastAsia="宋体" w:cs="宋体"/>
          <w:b/>
          <w:bCs/>
          <w:kern w:val="0"/>
        </w:rPr>
        <w:t>②</w:t>
      </w:r>
      <w:r>
        <w:rPr>
          <w:rFonts w:ascii="宋体" w:hAnsi="宋体" w:eastAsia="宋体" w:cs="宋体"/>
          <w:b/>
          <w:bCs/>
          <w:kern w:val="0"/>
        </w:rPr>
        <w:t>中小企业声明函（价格扣除适用，若有）”及“三</w:t>
      </w:r>
      <w:r>
        <w:rPr>
          <w:rFonts w:ascii="Calibri" w:hAnsi="Calibri" w:eastAsia="宋体" w:cs="宋体"/>
          <w:b/>
          <w:bCs/>
          <w:kern w:val="0"/>
        </w:rPr>
        <w:t>-2-</w:t>
      </w:r>
      <w:r>
        <w:rPr>
          <w:rFonts w:hint="eastAsia" w:ascii="宋体" w:hAnsi="宋体" w:eastAsia="宋体" w:cs="宋体"/>
          <w:b/>
          <w:bCs/>
          <w:kern w:val="0"/>
        </w:rPr>
        <w:t>③</w:t>
      </w:r>
      <w:r>
        <w:rPr>
          <w:rFonts w:ascii="宋体" w:hAnsi="宋体" w:eastAsia="宋体" w:cs="宋体"/>
          <w:b/>
          <w:bCs/>
          <w:kern w:val="0"/>
        </w:rPr>
        <w:t>小型、微型企业等证明材料（价格扣除适用，若有）”。</w:t>
      </w:r>
      <w:r>
        <w:rPr>
          <w:rFonts w:ascii="宋体" w:hAnsi="宋体" w:eastAsia="宋体" w:cs="宋体"/>
          <w:kern w:val="0"/>
          <w:szCs w:val="21"/>
        </w:rPr>
        <w:t>2、本表以合同包为单位，不同合同包请分别填写；同一合同包请按照其品目号顺序分别填写。3、</w:t>
      </w:r>
      <w:r>
        <w:rPr>
          <w:rFonts w:ascii="宋体" w:hAnsi="宋体" w:eastAsia="宋体" w:cs="宋体"/>
          <w:b/>
          <w:bCs/>
          <w:kern w:val="0"/>
        </w:rPr>
        <w:t>除本表第4条规定情形外，小型、微型企业（含监狱企业）承担的工程或提供的服务不享受价格扣除。</w:t>
      </w:r>
      <w:r>
        <w:rPr>
          <w:rFonts w:ascii="宋体" w:hAnsi="宋体" w:eastAsia="宋体" w:cs="宋体"/>
          <w:kern w:val="0"/>
          <w:szCs w:val="21"/>
        </w:rPr>
        <w:t>4、符合财政部、民政部、中国残联文件（财库</w:t>
      </w:r>
      <w:r>
        <w:rPr>
          <w:rFonts w:ascii="Calibri" w:hAnsi="Calibri" w:eastAsia="宋体" w:cs="宋体"/>
          <w:kern w:val="0"/>
          <w:szCs w:val="21"/>
        </w:rPr>
        <w:t>[2017]141</w:t>
      </w:r>
      <w:r>
        <w:rPr>
          <w:rFonts w:ascii="宋体" w:hAnsi="宋体" w:eastAsia="宋体" w:cs="宋体"/>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rPr>
        <w:t>可享受价格扣除。</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5、纸质投标文件正本中的本表（若有）应为原件。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三-2-</w:t>
      </w:r>
      <w:r>
        <w:rPr>
          <w:rFonts w:hint="eastAsia" w:ascii="宋体" w:hAnsi="宋体" w:eastAsia="宋体" w:cs="宋体"/>
          <w:b/>
          <w:bCs/>
          <w:kern w:val="0"/>
        </w:rPr>
        <w:t>②</w:t>
      </w:r>
      <w:r>
        <w:rPr>
          <w:rFonts w:ascii="宋体" w:hAnsi="宋体" w:eastAsia="宋体" w:cs="宋体"/>
          <w:b/>
          <w:bCs/>
          <w:kern w:val="0"/>
        </w:rPr>
        <w:t>中小企业声明函（价格扣除适用，若有）</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本投标人郑重声明，根据《政府采购促进中小企业发展暂行办法》（财库[2011]181号）的规定，本投标人为</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企业。即本投标人同时满足以下条件：</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1、根据《工业和信息化部、国家统计局、国家发展和改革委员会、财政部关于印发中小企业划型标准规定的通知》（工信部联企业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号）规定的划分标准，本投标人为</w:t>
      </w:r>
      <w:r>
        <w:rPr>
          <w:rFonts w:ascii="宋体" w:hAnsi="宋体" w:eastAsia="宋体" w:cs="宋体"/>
          <w:kern w:val="0"/>
          <w:szCs w:val="21"/>
          <w:u w:val="single"/>
        </w:rPr>
        <w:t>  （填写“中型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2、本投标人参加贵单位组织的</w:t>
      </w:r>
      <w:r>
        <w:rPr>
          <w:rFonts w:ascii="宋体" w:hAnsi="宋体" w:eastAsia="宋体" w:cs="宋体"/>
          <w:kern w:val="0"/>
          <w:szCs w:val="21"/>
          <w:u w:val="single"/>
        </w:rPr>
        <w:t xml:space="preserve"> （填写“项目名称”） </w:t>
      </w:r>
      <w:r>
        <w:rPr>
          <w:rFonts w:ascii="宋体" w:hAnsi="宋体" w:eastAsia="宋体" w:cs="宋体"/>
          <w:kern w:val="0"/>
          <w:szCs w:val="21"/>
        </w:rPr>
        <w:t>项目采购活动，其中：</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货物（不包括使用大型企业注册商标的货物）：</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）提供其他</w:t>
      </w:r>
      <w:r>
        <w:rPr>
          <w:rFonts w:ascii="宋体" w:hAnsi="宋体" w:eastAsia="宋体" w:cs="宋体"/>
          <w:kern w:val="0"/>
          <w:szCs w:val="21"/>
          <w:u w:val="single"/>
        </w:rPr>
        <w:t>（填写“中型</w:t>
      </w:r>
      <w:r>
        <w:rPr>
          <w:rFonts w:ascii="Calibri" w:hAnsi="Calibri" w:eastAsia="宋体" w:cs="宋体"/>
          <w:kern w:val="0"/>
          <w:szCs w:val="21"/>
          <w:u w:val="single"/>
        </w:rPr>
        <w:t>/</w:t>
      </w:r>
      <w:r>
        <w:rPr>
          <w:rFonts w:ascii="宋体" w:hAnsi="宋体" w:eastAsia="宋体" w:cs="宋体"/>
          <w:kern w:val="0"/>
          <w:szCs w:val="21"/>
          <w:u w:val="single"/>
        </w:rPr>
        <w:t>小型</w:t>
      </w:r>
      <w:r>
        <w:rPr>
          <w:rFonts w:ascii="Calibri" w:hAnsi="Calibri" w:eastAsia="宋体" w:cs="宋体"/>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工程：</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服务：</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2、投标人应认真对照《工业和信息化部、国家统计局、国家发展和改革委员会、财政部关于印发中小企业划型标准规定的通知》（工信部联企业</w:t>
      </w:r>
      <w:r>
        <w:rPr>
          <w:rFonts w:ascii="Calibri" w:hAnsi="Calibri" w:eastAsia="宋体" w:cs="宋体"/>
          <w:kern w:val="0"/>
          <w:szCs w:val="21"/>
        </w:rPr>
        <w:t>[2011]300</w:t>
      </w:r>
      <w:r>
        <w:rPr>
          <w:rFonts w:ascii="宋体" w:hAnsi="宋体" w:eastAsia="宋体" w:cs="宋体"/>
          <w:kern w:val="0"/>
          <w:szCs w:val="21"/>
        </w:rPr>
        <w:t>号）规定的划分标准，并按照国家统计局现行的关于统计上大中小微型企业划分办法的有关规定准确划分企业类型。</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3、若《中小企业声明函》内容不真实，</w:t>
      </w:r>
      <w:r>
        <w:rPr>
          <w:rFonts w:ascii="宋体" w:hAnsi="宋体" w:eastAsia="宋体" w:cs="宋体"/>
          <w:b/>
          <w:bCs/>
          <w:kern w:val="0"/>
        </w:rPr>
        <w:t>视为提供虚假材料</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4、投标人为监狱企业的，可不填写本声明函。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5、投标人为残疾人福利性单位的，可不填写本声明函。</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6、纸质投标文件正本中的本声明函（若有）应为原件。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Calibri" w:hAnsi="Calibri"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三-2-</w:t>
      </w:r>
      <w:r>
        <w:rPr>
          <w:rFonts w:hint="eastAsia" w:ascii="宋体" w:hAnsi="宋体" w:eastAsia="宋体" w:cs="宋体"/>
          <w:b/>
          <w:bCs/>
          <w:kern w:val="0"/>
        </w:rPr>
        <w:t>③</w:t>
      </w:r>
      <w:r>
        <w:rPr>
          <w:rFonts w:ascii="宋体" w:hAnsi="宋体" w:eastAsia="宋体" w:cs="宋体"/>
          <w:b/>
          <w:bCs/>
          <w:kern w:val="0"/>
        </w:rPr>
        <w:t>小型、微型企业等证明材料（价格扣除适用，若有）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1、投标人应按照招标文件要求提供相应证明材料，证明材料应与《中小企业声明函》的内容相一致，否则视为《中小企业声明函》内容不真实。</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hint="eastAsia" w:ascii="宋体" w:hAnsi="宋体" w:eastAsia="宋体" w:cs="宋体"/>
          <w:kern w:val="0"/>
          <w:szCs w:val="21"/>
        </w:rPr>
      </w:pPr>
      <w:r>
        <w:rPr>
          <w:rFonts w:ascii="Calibri" w:hAnsi="Calibri" w:eastAsia="宋体" w:cs="宋体"/>
          <w:kern w:val="0"/>
          <w:szCs w:val="21"/>
        </w:rPr>
        <w:br w:type="textWrapping"/>
      </w:r>
    </w:p>
    <w:p>
      <w:pPr>
        <w:widowControl/>
        <w:jc w:val="center"/>
        <w:rPr>
          <w:rFonts w:hint="eastAsia" w:ascii="宋体" w:hAnsi="宋体" w:eastAsia="宋体" w:cs="宋体"/>
          <w:kern w:val="0"/>
          <w:szCs w:val="21"/>
        </w:rPr>
      </w:pPr>
      <w:r>
        <w:rPr>
          <w:rFonts w:hint="eastAsia" w:ascii="宋体" w:hAnsi="宋体" w:eastAsia="宋体" w:cs="宋体"/>
          <w:kern w:val="0"/>
          <w:szCs w:val="21"/>
        </w:rPr>
        <w:br w:type="page"/>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附：</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残疾人福利性单位声明函（价格扣除适用，若有）</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服务；或</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rPr>
        <w:t>视为提供虚假材料</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4、符合财政部、民政部、中国残联文件（财库</w:t>
      </w:r>
      <w:r>
        <w:rPr>
          <w:rFonts w:ascii="Calibri" w:hAnsi="Calibri" w:eastAsia="宋体" w:cs="宋体"/>
          <w:kern w:val="0"/>
          <w:szCs w:val="21"/>
        </w:rPr>
        <w:t>[2017]141</w:t>
      </w:r>
      <w:r>
        <w:rPr>
          <w:rFonts w:ascii="宋体" w:hAnsi="宋体" w:eastAsia="宋体" w:cs="宋体"/>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rPr>
        <w:t>可享受价格扣除。</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三-3招标文件规定的其他价格扣除证明材料（若有）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rPr>
        <w:t>“节能（非强制类）、环境标志产品价格扣除”及“小型、微型企业产品等价格扣除”</w:t>
      </w:r>
      <w:r>
        <w:rPr>
          <w:rFonts w:ascii="宋体" w:hAnsi="宋体" w:eastAsia="宋体" w:cs="宋体"/>
          <w:kern w:val="0"/>
          <w:szCs w:val="21"/>
        </w:rPr>
        <w:t>外的其他价格扣除优惠，则投标人应按照招标文件要求提供相应证明材料。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四、招标文件规定的加分证明材料（若有）</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四-1优先类节能产品、环境标志产品加分证明材料（若有）</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四-1-</w:t>
      </w:r>
      <w:r>
        <w:rPr>
          <w:rFonts w:hint="eastAsia" w:ascii="宋体" w:hAnsi="宋体" w:eastAsia="宋体" w:cs="宋体"/>
          <w:b/>
          <w:bCs/>
          <w:kern w:val="0"/>
        </w:rPr>
        <w:t>①</w:t>
      </w:r>
      <w:r>
        <w:rPr>
          <w:rFonts w:ascii="宋体" w:hAnsi="宋体" w:eastAsia="宋体" w:cs="宋体"/>
          <w:b/>
          <w:bCs/>
          <w:kern w:val="0"/>
        </w:rPr>
        <w:t>优先类节能产品、环境标志产品统计表（加分适用，若有）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line="360" w:lineRule="auto"/>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7305" w:type="dxa"/>
            <w:gridSpan w:val="6"/>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品目号</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货物名称</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数量</w:t>
            </w:r>
          </w:p>
        </w:tc>
        <w:tc>
          <w:tcPr>
            <w:tcW w:w="121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（现场）</w:t>
            </w:r>
          </w:p>
        </w:tc>
        <w:tc>
          <w:tcPr>
            <w:tcW w:w="123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*-1</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3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single" w:color="666666" w:sz="6" w:space="0"/>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1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23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备注</w:t>
            </w:r>
          </w:p>
        </w:tc>
        <w:tc>
          <w:tcPr>
            <w:tcW w:w="7305" w:type="dxa"/>
            <w:gridSpan w:val="6"/>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宋体"/>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1、对节能、环境标志产品计算加分时，只依据投标文件</w:t>
      </w:r>
      <w:r>
        <w:rPr>
          <w:rFonts w:ascii="宋体" w:hAnsi="宋体" w:eastAsia="宋体" w:cs="宋体"/>
          <w:b/>
          <w:bCs/>
          <w:kern w:val="0"/>
        </w:rPr>
        <w:t>“四</w:t>
      </w:r>
      <w:r>
        <w:rPr>
          <w:rFonts w:ascii="Calibri" w:hAnsi="Calibri" w:eastAsia="宋体" w:cs="宋体"/>
          <w:b/>
          <w:bCs/>
          <w:kern w:val="0"/>
        </w:rPr>
        <w:t>-1-</w:t>
      </w:r>
      <w:r>
        <w:rPr>
          <w:rFonts w:hint="eastAsia" w:ascii="宋体" w:hAnsi="宋体" w:eastAsia="宋体" w:cs="宋体"/>
          <w:b/>
          <w:bCs/>
          <w:kern w:val="0"/>
        </w:rPr>
        <w:t>②</w:t>
      </w:r>
      <w:r>
        <w:rPr>
          <w:rFonts w:ascii="宋体" w:hAnsi="宋体" w:eastAsia="宋体" w:cs="宋体"/>
          <w:b/>
          <w:bCs/>
          <w:kern w:val="0"/>
        </w:rPr>
        <w:t>优先类节能产品、环境标志产品加分证明材料（加分适用，若有）”。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3.1</w:t>
      </w:r>
      <w:r>
        <w:rPr>
          <w:rFonts w:ascii="Calibri" w:hAnsi="Calibri" w:eastAsia="宋体" w:cs="宋体"/>
          <w:kern w:val="0"/>
          <w:szCs w:val="21"/>
        </w:rPr>
        <w:t> </w:t>
      </w:r>
      <w:r>
        <w:rPr>
          <w:rFonts w:ascii="宋体" w:hAnsi="宋体" w:eastAsia="宋体" w:cs="宋体"/>
          <w:kern w:val="0"/>
          <w:szCs w:val="21"/>
        </w:rPr>
        <w:t>若节能、环境标志产品仅是构成投标产品的部件、组件或零件，则该投标产品不享受鼓励优惠政策。同一品目中各认证证书不重复计算加分。强制类节能产品不享受加分。</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rPr>
        <w:t>视为提供虚假材料</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b/>
          <w:bCs/>
          <w:kern w:val="0"/>
          <w:szCs w:val="21"/>
        </w:rPr>
        <w:br w:type="textWrapping"/>
      </w:r>
    </w:p>
    <w:p>
      <w:pPr>
        <w:widowControl/>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rPr>
        <w:t>四-1-</w:t>
      </w:r>
      <w:r>
        <w:rPr>
          <w:rFonts w:hint="eastAsia" w:ascii="宋体" w:hAnsi="宋体" w:eastAsia="宋体" w:cs="宋体"/>
          <w:b/>
          <w:bCs/>
          <w:kern w:val="0"/>
        </w:rPr>
        <w:t>②</w:t>
      </w:r>
      <w:r>
        <w:rPr>
          <w:rFonts w:ascii="宋体" w:hAnsi="宋体" w:eastAsia="宋体" w:cs="宋体"/>
          <w:b/>
          <w:bCs/>
          <w:kern w:val="0"/>
        </w:rPr>
        <w:t>优先类节能产品、环境标志产品证明材料（加分适用，若有）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b/>
          <w:bCs/>
          <w:kern w:val="0"/>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宋体"/>
          <w:kern w:val="0"/>
          <w:szCs w:val="21"/>
        </w:rPr>
        <w:t>13</w:t>
      </w:r>
      <w:r>
        <w:rPr>
          <w:rFonts w:ascii="宋体" w:hAnsi="宋体" w:eastAsia="宋体" w:cs="宋体"/>
          <w:kern w:val="0"/>
          <w:szCs w:val="21"/>
        </w:rPr>
        <w:t>项规定提供相应证明材料。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kern w:val="0"/>
          <w:szCs w:val="21"/>
        </w:rPr>
        <w:t>四</w:t>
      </w:r>
      <w:r>
        <w:rPr>
          <w:rFonts w:ascii="宋体" w:hAnsi="宋体" w:eastAsia="宋体" w:cs="宋体"/>
          <w:b/>
          <w:bCs/>
          <w:kern w:val="0"/>
        </w:rPr>
        <w:t>-2招标文件规定的其他加分证明材料（若有）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rPr>
        <w:t>“优先类节能产品、环境标志产品加分”</w:t>
      </w:r>
      <w:r>
        <w:rPr>
          <w:rFonts w:ascii="宋体" w:hAnsi="宋体" w:eastAsia="宋体" w:cs="宋体"/>
          <w:kern w:val="0"/>
          <w:szCs w:val="21"/>
        </w:rPr>
        <w:t>外的其他加分优惠，则投标人应按照招标文件要求提供相应证明材料。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rPr>
        <w:t>封面格式</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rPr>
        <w:t>（技术商务部分）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备案编号：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b/>
          <w:bCs/>
          <w:kern w:val="0"/>
          <w:sz w:val="29"/>
        </w:rPr>
        <w:t>索引</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9"/>
          <w:szCs w:val="29"/>
        </w:rPr>
        <w:t>一、标的说明一览表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9"/>
          <w:szCs w:val="29"/>
        </w:rPr>
        <w:t>二、技术和服务要求响应表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9"/>
          <w:szCs w:val="29"/>
        </w:rPr>
        <w:t>三、商务条件响应表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9"/>
          <w:szCs w:val="29"/>
        </w:rPr>
        <w:t>四、投标人提交的其他资料（若有）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技术商务部分中不得出现报价部分的全部或部分的投标报价信息（或组成资料），否则</w:t>
      </w:r>
      <w:r>
        <w:rPr>
          <w:rFonts w:ascii="宋体" w:hAnsi="宋体" w:eastAsia="宋体" w:cs="宋体"/>
          <w:b/>
          <w:bCs/>
          <w:kern w:val="0"/>
        </w:rPr>
        <w:t>符合性审查不合格</w:t>
      </w:r>
      <w:r>
        <w:rPr>
          <w:rFonts w:ascii="宋体" w:hAnsi="宋体" w:eastAsia="宋体" w:cs="宋体"/>
          <w:kern w:val="0"/>
          <w:szCs w:val="21"/>
        </w:rPr>
        <w:t>。</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hint="eastAsia" w:ascii="宋体" w:hAnsi="宋体" w:eastAsia="宋体" w:cs="宋体"/>
          <w:b/>
          <w:bCs/>
          <w:kern w:val="0"/>
        </w:rPr>
      </w:pPr>
      <w:r>
        <w:rPr>
          <w:rFonts w:ascii="Calibri" w:hAnsi="Calibri" w:eastAsia="宋体" w:cs="宋体"/>
          <w:kern w:val="0"/>
          <w:szCs w:val="21"/>
        </w:rPr>
        <w:br w:type="textWrapping"/>
      </w:r>
    </w:p>
    <w:p>
      <w:pPr>
        <w:widowControl/>
        <w:spacing w:line="360" w:lineRule="auto"/>
        <w:jc w:val="center"/>
        <w:rPr>
          <w:rFonts w:hint="eastAsia" w:ascii="宋体" w:hAnsi="宋体" w:eastAsia="宋体" w:cs="宋体"/>
          <w:b/>
          <w:bCs/>
          <w:kern w:val="0"/>
        </w:rPr>
      </w:pPr>
      <w:r>
        <w:rPr>
          <w:rFonts w:hint="eastAsia" w:ascii="宋体" w:hAnsi="宋体" w:eastAsia="宋体" w:cs="宋体"/>
          <w:b/>
          <w:bCs/>
          <w:kern w:val="0"/>
        </w:rPr>
        <w:br w:type="page"/>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一、标的说明一览表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854"/>
        <w:gridCol w:w="1692"/>
        <w:gridCol w:w="854"/>
        <w:gridCol w:w="1138"/>
        <w:gridCol w:w="1138"/>
        <w:gridCol w:w="1886"/>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854"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品目号</w:t>
            </w:r>
          </w:p>
        </w:tc>
        <w:tc>
          <w:tcPr>
            <w:tcW w:w="1692"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投标标的</w:t>
            </w:r>
          </w:p>
        </w:tc>
        <w:tc>
          <w:tcPr>
            <w:tcW w:w="854"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数量</w:t>
            </w:r>
          </w:p>
        </w:tc>
        <w:tc>
          <w:tcPr>
            <w:tcW w:w="1138"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规格</w:t>
            </w:r>
          </w:p>
        </w:tc>
        <w:tc>
          <w:tcPr>
            <w:tcW w:w="1138"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来源地</w:t>
            </w:r>
          </w:p>
        </w:tc>
        <w:tc>
          <w:tcPr>
            <w:tcW w:w="1886"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58" w:type="dxa"/>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85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*-1</w:t>
            </w:r>
          </w:p>
        </w:tc>
        <w:tc>
          <w:tcPr>
            <w:tcW w:w="1692"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85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13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13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86"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58" w:type="dxa"/>
            <w:vMerge w:val="continue"/>
            <w:tcBorders>
              <w:top w:val="nil"/>
              <w:left w:val="single" w:color="666666" w:sz="6" w:space="0"/>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c>
          <w:tcPr>
            <w:tcW w:w="85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1692"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85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13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13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86"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85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692"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854"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13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138"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86"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本表应按照下列规定填写：1.1“合同包”、“品目号”、“投标标的”及“数量”应与招标文件《采购标的一览表》中的有关内容（“合同包”、“品目号”、“采购标的”及“数量”）保持一致。1.2“投标标的”为货物的：</w:t>
      </w:r>
      <w:r>
        <w:rPr>
          <w:rFonts w:ascii="宋体" w:hAnsi="宋体" w:eastAsia="宋体" w:cs="宋体"/>
          <w:b/>
          <w:bCs/>
          <w:kern w:val="0"/>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rPr>
        <w:t>“来源地”</w:t>
      </w:r>
      <w:r>
        <w:rPr>
          <w:rFonts w:ascii="宋体" w:hAnsi="宋体" w:eastAsia="宋体" w:cs="宋体"/>
          <w:kern w:val="0"/>
          <w:szCs w:val="21"/>
        </w:rPr>
        <w:t>应填写货物的原产地。</w:t>
      </w:r>
      <w:r>
        <w:rPr>
          <w:rFonts w:ascii="宋体" w:hAnsi="宋体" w:eastAsia="宋体" w:cs="宋体"/>
          <w:b/>
          <w:bCs/>
          <w:kern w:val="0"/>
        </w:rPr>
        <w:t>“备注”</w:t>
      </w:r>
      <w:r>
        <w:rPr>
          <w:rFonts w:ascii="宋体" w:hAnsi="宋体" w:eastAsia="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1.3“投标标的”为服务的：</w:t>
      </w:r>
      <w:r>
        <w:rPr>
          <w:rFonts w:ascii="宋体" w:hAnsi="宋体" w:eastAsia="宋体" w:cs="宋体"/>
          <w:b/>
          <w:bCs/>
          <w:kern w:val="0"/>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rPr>
        <w:t>“来源地”</w:t>
      </w:r>
      <w:r>
        <w:rPr>
          <w:rFonts w:ascii="宋体" w:hAnsi="宋体" w:eastAsia="宋体" w:cs="宋体"/>
          <w:kern w:val="0"/>
          <w:szCs w:val="21"/>
        </w:rPr>
        <w:t>应填写服务提供者的所在地。</w:t>
      </w:r>
      <w:r>
        <w:rPr>
          <w:rFonts w:ascii="宋体" w:hAnsi="宋体" w:eastAsia="宋体" w:cs="宋体"/>
          <w:b/>
          <w:bCs/>
          <w:kern w:val="0"/>
        </w:rPr>
        <w:t>“备注”</w:t>
      </w:r>
      <w:r>
        <w:rPr>
          <w:rFonts w:ascii="宋体" w:hAnsi="宋体" w:eastAsia="宋体" w:cs="宋体"/>
          <w:kern w:val="0"/>
          <w:szCs w:val="21"/>
        </w:rPr>
        <w:t>项下应填写关于服务标准所涵盖的具体项目或内容的说明等。2、投标人需要说明的内容若需特殊表达，应先在本表中进行相应说明，再另页应答，否则</w:t>
      </w:r>
      <w:r>
        <w:rPr>
          <w:rFonts w:ascii="宋体" w:hAnsi="宋体" w:eastAsia="宋体" w:cs="宋体"/>
          <w:b/>
          <w:bCs/>
          <w:kern w:val="0"/>
        </w:rPr>
        <w:t>投标无效</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3、投标文件中涉及</w:t>
      </w:r>
      <w:r>
        <w:rPr>
          <w:rFonts w:ascii="宋体" w:hAnsi="宋体" w:eastAsia="宋体" w:cs="宋体"/>
          <w:b/>
          <w:bCs/>
          <w:kern w:val="0"/>
        </w:rPr>
        <w:t>“投标标的”、“数量”、“规格”、“来源地”</w:t>
      </w:r>
      <w:r>
        <w:rPr>
          <w:rFonts w:ascii="宋体" w:hAnsi="宋体" w:eastAsia="宋体" w:cs="宋体"/>
          <w:kern w:val="0"/>
          <w:szCs w:val="21"/>
        </w:rPr>
        <w:t>的内容若不一致，</w:t>
      </w:r>
      <w:r>
        <w:rPr>
          <w:rFonts w:ascii="宋体" w:hAnsi="宋体" w:eastAsia="宋体" w:cs="宋体"/>
          <w:b/>
          <w:bCs/>
          <w:kern w:val="0"/>
        </w:rPr>
        <w:t>应以本表为准</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4、纸质投标文件正本中的本表应为原件。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二、技术和服务要求响应表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招标编号：</w:t>
      </w:r>
      <w:r>
        <w:rPr>
          <w:rFonts w:ascii="宋体" w:hAnsi="宋体" w:eastAsia="宋体" w:cs="宋体"/>
          <w:kern w:val="0"/>
          <w:szCs w:val="21"/>
          <w:u w:val="single"/>
        </w:rPr>
        <w:t>                   </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85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品目号</w:t>
            </w:r>
          </w:p>
        </w:tc>
        <w:tc>
          <w:tcPr>
            <w:tcW w:w="297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技术和服务要求</w:t>
            </w:r>
          </w:p>
        </w:tc>
        <w:tc>
          <w:tcPr>
            <w:tcW w:w="184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投标响应</w:t>
            </w:r>
          </w:p>
        </w:tc>
        <w:tc>
          <w:tcPr>
            <w:tcW w:w="189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85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*-1</w:t>
            </w:r>
          </w:p>
        </w:tc>
        <w:tc>
          <w:tcPr>
            <w:tcW w:w="297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single" w:color="666666" w:sz="6" w:space="0"/>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c>
          <w:tcPr>
            <w:tcW w:w="85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297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85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297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4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1.1“技术和服务要求”项下填写的内容应与招标文件第五章“技术和服务要求”的内容保持一致。</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1.2“投标响应”项下应填写具体的响应内容并与“技术和服务要求”项下填写的内容逐项对应；对“技术和服务要求”项下涉及“≥或＞”、“≤或＜”及某个区间值范围内的内容，应填写具体的数值。</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    另页应答，否则</w:t>
      </w:r>
      <w:r>
        <w:rPr>
          <w:rFonts w:ascii="宋体" w:hAnsi="宋体" w:eastAsia="宋体" w:cs="宋体"/>
          <w:b/>
          <w:bCs/>
          <w:kern w:val="0"/>
        </w:rPr>
        <w:t>投标无效</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三、商务条件响应表</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合同包</w:t>
            </w:r>
          </w:p>
        </w:tc>
        <w:tc>
          <w:tcPr>
            <w:tcW w:w="85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品目号</w:t>
            </w:r>
          </w:p>
        </w:tc>
        <w:tc>
          <w:tcPr>
            <w:tcW w:w="297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商务条件</w:t>
            </w:r>
          </w:p>
        </w:tc>
        <w:tc>
          <w:tcPr>
            <w:tcW w:w="1845"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投标响应</w:t>
            </w:r>
          </w:p>
        </w:tc>
        <w:tc>
          <w:tcPr>
            <w:tcW w:w="1890" w:type="dxa"/>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w:t>
            </w:r>
          </w:p>
        </w:tc>
        <w:tc>
          <w:tcPr>
            <w:tcW w:w="85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宋体" w:hAnsi="宋体" w:eastAsia="宋体" w:cs="宋体"/>
                <w:kern w:val="0"/>
                <w:szCs w:val="21"/>
              </w:rPr>
              <w:t>*-1</w:t>
            </w:r>
          </w:p>
        </w:tc>
        <w:tc>
          <w:tcPr>
            <w:tcW w:w="297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single" w:color="666666" w:sz="6" w:space="0"/>
              <w:bottom w:val="single" w:color="666666" w:sz="6" w:space="0"/>
              <w:right w:val="single" w:color="666666" w:sz="6" w:space="0"/>
            </w:tcBorders>
            <w:vAlign w:val="center"/>
          </w:tcPr>
          <w:p>
            <w:pPr>
              <w:widowControl/>
              <w:spacing w:line="360" w:lineRule="auto"/>
              <w:jc w:val="left"/>
              <w:rPr>
                <w:rFonts w:ascii="宋体" w:hAnsi="宋体" w:eastAsia="宋体" w:cs="宋体"/>
                <w:kern w:val="0"/>
                <w:sz w:val="24"/>
                <w:szCs w:val="24"/>
              </w:rPr>
            </w:pPr>
          </w:p>
        </w:tc>
        <w:tc>
          <w:tcPr>
            <w:tcW w:w="85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297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before="100" w:beforeAutospacing="1" w:after="100" w:afterAutospacing="1" w:line="360" w:lineRule="auto"/>
              <w:rPr>
                <w:rFonts w:ascii="宋体" w:hAnsi="宋体" w:eastAsia="宋体" w:cs="宋体"/>
                <w:kern w:val="0"/>
                <w:sz w:val="24"/>
                <w:szCs w:val="24"/>
              </w:rPr>
            </w:pPr>
            <w:r>
              <w:rPr>
                <w:rFonts w:ascii="Calibri" w:hAnsi="Calibri" w:eastAsia="宋体" w:cs="宋体"/>
                <w:kern w:val="0"/>
                <w:szCs w:val="21"/>
              </w:rPr>
              <w:t>…</w:t>
            </w:r>
          </w:p>
        </w:tc>
        <w:tc>
          <w:tcPr>
            <w:tcW w:w="85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297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45"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90" w:type="dxa"/>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bl>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1.1“商务条件”项下填写的内容应与招标文件第五章“商务条件”的内容保持一致。</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2、投标人需要说明的内容若需特殊表达，应先在本表中进行相应说明，再另页应答，否则</w:t>
      </w:r>
      <w:r>
        <w:rPr>
          <w:rFonts w:ascii="宋体" w:hAnsi="宋体" w:eastAsia="宋体" w:cs="宋体"/>
          <w:b/>
          <w:bCs/>
          <w:kern w:val="0"/>
        </w:rPr>
        <w:t>投标无效</w:t>
      </w:r>
      <w:r>
        <w:rPr>
          <w:rFonts w:ascii="宋体" w:hAnsi="宋体" w:eastAsia="宋体" w:cs="宋体"/>
          <w:kern w:val="0"/>
          <w:szCs w:val="21"/>
        </w:rPr>
        <w:t>。</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line="360" w:lineRule="auto"/>
        <w:jc w:val="left"/>
        <w:rPr>
          <w:rFonts w:hint="eastAsia" w:ascii="宋体" w:hAnsi="宋体" w:eastAsia="宋体" w:cs="宋体"/>
          <w:kern w:val="0"/>
          <w:szCs w:val="21"/>
        </w:rPr>
      </w:pP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outlineLvl w:val="0"/>
        <w:rPr>
          <w:rFonts w:ascii="宋体" w:hAnsi="宋体" w:eastAsia="宋体" w:cs="宋体"/>
          <w:kern w:val="0"/>
          <w:sz w:val="24"/>
          <w:szCs w:val="24"/>
        </w:rPr>
      </w:pPr>
      <w:r>
        <w:rPr>
          <w:rFonts w:ascii="宋体" w:hAnsi="宋体" w:eastAsia="宋体" w:cs="宋体"/>
          <w:b/>
          <w:bCs/>
          <w:kern w:val="0"/>
        </w:rPr>
        <w:t>四、投标人提交的其他资料（若有）</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1、招标文件要求提交的除</w:t>
      </w:r>
      <w:r>
        <w:rPr>
          <w:rFonts w:ascii="宋体" w:hAnsi="宋体" w:eastAsia="宋体" w:cs="宋体"/>
          <w:b/>
          <w:bCs/>
          <w:kern w:val="0"/>
        </w:rPr>
        <w:t>“资格及资信证明部分”、“报价部分”</w:t>
      </w:r>
      <w:r>
        <w:rPr>
          <w:rFonts w:ascii="宋体" w:hAnsi="宋体" w:eastAsia="宋体" w:cs="宋体"/>
          <w:kern w:val="0"/>
          <w:szCs w:val="21"/>
        </w:rPr>
        <w:t>外的其他证明材料或资料加盖投标人的单位公章后应在此项下提交。</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2、招标文件要求投标人提供方案（包括但不限于：组织、实施、技术、服务方案等）的，投标人应在此项下提交。</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3、除招标文件另有规定外，投标人认为需要提交的其他证明材料或资料加盖投标人的单位公章后应在此项下提交。</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uto"/>
        <w:jc w:val="left"/>
        <w:outlineLvl w:val="2"/>
        <w:rPr>
          <w:rFonts w:ascii="宋体" w:hAnsi="宋体" w:eastAsia="宋体" w:cs="宋体"/>
          <w:b/>
          <w:bCs/>
          <w:kern w:val="0"/>
          <w:sz w:val="27"/>
          <w:szCs w:val="27"/>
        </w:rPr>
      </w:pPr>
      <w:r>
        <w:rPr>
          <w:rFonts w:ascii="宋体" w:hAnsi="宋体" w:eastAsia="宋体" w:cs="宋体"/>
          <w:b/>
          <w:bCs/>
          <w:kern w:val="0"/>
          <w:sz w:val="27"/>
          <w:szCs w:val="27"/>
        </w:rPr>
        <w:t>采购文件相关附件</w:t>
      </w:r>
    </w:p>
    <w:p>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宋体-方正超大字符集">
    <w:altName w:val="宋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374"/>
      <w:docPartObj>
        <w:docPartGallery w:val="AutoText"/>
      </w:docPartObj>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E7B70"/>
    <w:multiLevelType w:val="singleLevel"/>
    <w:tmpl w:val="5D4E7B7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6E"/>
    <w:rsid w:val="00016429"/>
    <w:rsid w:val="000476F7"/>
    <w:rsid w:val="00066BF3"/>
    <w:rsid w:val="00075AB7"/>
    <w:rsid w:val="00081C21"/>
    <w:rsid w:val="000C0BCF"/>
    <w:rsid w:val="00114BAE"/>
    <w:rsid w:val="001203C1"/>
    <w:rsid w:val="001219C4"/>
    <w:rsid w:val="00141C77"/>
    <w:rsid w:val="00155FCA"/>
    <w:rsid w:val="00164585"/>
    <w:rsid w:val="001665B4"/>
    <w:rsid w:val="00183207"/>
    <w:rsid w:val="001B18A0"/>
    <w:rsid w:val="00204465"/>
    <w:rsid w:val="00204DDE"/>
    <w:rsid w:val="00216883"/>
    <w:rsid w:val="002215EE"/>
    <w:rsid w:val="002269DD"/>
    <w:rsid w:val="00246EBA"/>
    <w:rsid w:val="00266CD0"/>
    <w:rsid w:val="00270167"/>
    <w:rsid w:val="00282BCF"/>
    <w:rsid w:val="00290D50"/>
    <w:rsid w:val="002A397E"/>
    <w:rsid w:val="002D39AB"/>
    <w:rsid w:val="002D5AB5"/>
    <w:rsid w:val="002F23A9"/>
    <w:rsid w:val="00304BF2"/>
    <w:rsid w:val="00321E25"/>
    <w:rsid w:val="00333A1B"/>
    <w:rsid w:val="00336DB5"/>
    <w:rsid w:val="00353DA2"/>
    <w:rsid w:val="00366A9B"/>
    <w:rsid w:val="003C0520"/>
    <w:rsid w:val="003C1226"/>
    <w:rsid w:val="0040156F"/>
    <w:rsid w:val="00403F3A"/>
    <w:rsid w:val="00404EED"/>
    <w:rsid w:val="004315E9"/>
    <w:rsid w:val="00433044"/>
    <w:rsid w:val="004502AA"/>
    <w:rsid w:val="004521E0"/>
    <w:rsid w:val="00452242"/>
    <w:rsid w:val="0045462B"/>
    <w:rsid w:val="00471747"/>
    <w:rsid w:val="004B482E"/>
    <w:rsid w:val="004C128D"/>
    <w:rsid w:val="004F1F42"/>
    <w:rsid w:val="00515D7B"/>
    <w:rsid w:val="00517883"/>
    <w:rsid w:val="005178B2"/>
    <w:rsid w:val="00527C57"/>
    <w:rsid w:val="005723EA"/>
    <w:rsid w:val="005A268C"/>
    <w:rsid w:val="005A71AF"/>
    <w:rsid w:val="005B32AA"/>
    <w:rsid w:val="005C58E8"/>
    <w:rsid w:val="005C798A"/>
    <w:rsid w:val="00622287"/>
    <w:rsid w:val="00622B11"/>
    <w:rsid w:val="00636EBE"/>
    <w:rsid w:val="00655487"/>
    <w:rsid w:val="006641DE"/>
    <w:rsid w:val="00692BBC"/>
    <w:rsid w:val="00697F33"/>
    <w:rsid w:val="006A1A44"/>
    <w:rsid w:val="006B1D5D"/>
    <w:rsid w:val="006C0F54"/>
    <w:rsid w:val="006C367E"/>
    <w:rsid w:val="006E73A3"/>
    <w:rsid w:val="006F454D"/>
    <w:rsid w:val="007157C9"/>
    <w:rsid w:val="00735556"/>
    <w:rsid w:val="00753B29"/>
    <w:rsid w:val="00764313"/>
    <w:rsid w:val="00776187"/>
    <w:rsid w:val="007801B2"/>
    <w:rsid w:val="007B357D"/>
    <w:rsid w:val="007C516E"/>
    <w:rsid w:val="007D2080"/>
    <w:rsid w:val="007D333A"/>
    <w:rsid w:val="007D6E91"/>
    <w:rsid w:val="007E186E"/>
    <w:rsid w:val="007F37EA"/>
    <w:rsid w:val="008001DC"/>
    <w:rsid w:val="0080394D"/>
    <w:rsid w:val="00805D30"/>
    <w:rsid w:val="00834255"/>
    <w:rsid w:val="00844C6D"/>
    <w:rsid w:val="00862612"/>
    <w:rsid w:val="008829BD"/>
    <w:rsid w:val="00886FEA"/>
    <w:rsid w:val="00890418"/>
    <w:rsid w:val="008A2582"/>
    <w:rsid w:val="008B3566"/>
    <w:rsid w:val="008C7A2C"/>
    <w:rsid w:val="008D279F"/>
    <w:rsid w:val="008E13E4"/>
    <w:rsid w:val="008E557C"/>
    <w:rsid w:val="008F474E"/>
    <w:rsid w:val="00950E3B"/>
    <w:rsid w:val="009615DA"/>
    <w:rsid w:val="009621F1"/>
    <w:rsid w:val="00962FE3"/>
    <w:rsid w:val="0097625C"/>
    <w:rsid w:val="00991043"/>
    <w:rsid w:val="009B1944"/>
    <w:rsid w:val="009B4108"/>
    <w:rsid w:val="00A3397C"/>
    <w:rsid w:val="00A65CE9"/>
    <w:rsid w:val="00A66E12"/>
    <w:rsid w:val="00A6731E"/>
    <w:rsid w:val="00A75326"/>
    <w:rsid w:val="00A82C90"/>
    <w:rsid w:val="00A83E93"/>
    <w:rsid w:val="00A97677"/>
    <w:rsid w:val="00AC55A5"/>
    <w:rsid w:val="00AE2922"/>
    <w:rsid w:val="00B01896"/>
    <w:rsid w:val="00B82EF5"/>
    <w:rsid w:val="00B84FF1"/>
    <w:rsid w:val="00B859C1"/>
    <w:rsid w:val="00B92055"/>
    <w:rsid w:val="00BC407E"/>
    <w:rsid w:val="00BC4D1C"/>
    <w:rsid w:val="00C24DD4"/>
    <w:rsid w:val="00C266E3"/>
    <w:rsid w:val="00C85977"/>
    <w:rsid w:val="00C9322F"/>
    <w:rsid w:val="00CA3156"/>
    <w:rsid w:val="00CB562F"/>
    <w:rsid w:val="00D13A54"/>
    <w:rsid w:val="00D14496"/>
    <w:rsid w:val="00D16D6C"/>
    <w:rsid w:val="00D4356C"/>
    <w:rsid w:val="00D520FA"/>
    <w:rsid w:val="00D55983"/>
    <w:rsid w:val="00D67D95"/>
    <w:rsid w:val="00D72825"/>
    <w:rsid w:val="00D82175"/>
    <w:rsid w:val="00D82E65"/>
    <w:rsid w:val="00DC216E"/>
    <w:rsid w:val="00DC6063"/>
    <w:rsid w:val="00DE292A"/>
    <w:rsid w:val="00DF7582"/>
    <w:rsid w:val="00E069D9"/>
    <w:rsid w:val="00EA20DF"/>
    <w:rsid w:val="00EB1535"/>
    <w:rsid w:val="00EC20FF"/>
    <w:rsid w:val="00EE3306"/>
    <w:rsid w:val="00EF07A5"/>
    <w:rsid w:val="00EF18F8"/>
    <w:rsid w:val="00F245B6"/>
    <w:rsid w:val="00F54E8F"/>
    <w:rsid w:val="00F65B31"/>
    <w:rsid w:val="00F850CB"/>
    <w:rsid w:val="00FB439C"/>
    <w:rsid w:val="00FD1CB1"/>
    <w:rsid w:val="00FD41A0"/>
    <w:rsid w:val="2C59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92"/>
    <w:semiHidden/>
    <w:unhideWhenUsed/>
    <w:uiPriority w:val="99"/>
    <w:rPr>
      <w:rFonts w:ascii="宋体" w:eastAsia="宋体"/>
      <w:sz w:val="18"/>
      <w:szCs w:val="18"/>
    </w:rPr>
  </w:style>
  <w:style w:type="paragraph" w:styleId="4">
    <w:name w:val="annotation text"/>
    <w:basedOn w:val="1"/>
    <w:link w:val="94"/>
    <w:unhideWhenUsed/>
    <w:qFormat/>
    <w:uiPriority w:val="99"/>
    <w:pPr>
      <w:jc w:val="left"/>
    </w:pPr>
  </w:style>
  <w:style w:type="paragraph" w:styleId="5">
    <w:name w:val="Balloon Text"/>
    <w:basedOn w:val="1"/>
    <w:link w:val="96"/>
    <w:semiHidden/>
    <w:unhideWhenUsed/>
    <w:qFormat/>
    <w:uiPriority w:val="99"/>
    <w:rPr>
      <w:sz w:val="18"/>
      <w:szCs w:val="18"/>
    </w:rPr>
  </w:style>
  <w:style w:type="paragraph" w:styleId="6">
    <w:name w:val="footer"/>
    <w:basedOn w:val="1"/>
    <w:link w:val="20"/>
    <w:unhideWhenUsed/>
    <w:uiPriority w:val="99"/>
    <w:pPr>
      <w:tabs>
        <w:tab w:val="center" w:pos="4153"/>
        <w:tab w:val="right" w:pos="8306"/>
      </w:tabs>
      <w:snapToGrid w:val="0"/>
      <w:jc w:val="left"/>
    </w:pPr>
    <w:rPr>
      <w:sz w:val="18"/>
      <w:szCs w:val="18"/>
    </w:rPr>
  </w:style>
  <w:style w:type="paragraph" w:styleId="7">
    <w:name w:val="header"/>
    <w:basedOn w:val="1"/>
    <w:link w:val="19"/>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95"/>
    <w:semiHidden/>
    <w:unhideWhenUsed/>
    <w:qFormat/>
    <w:uiPriority w:val="99"/>
    <w:rPr>
      <w:b/>
      <w:bCs/>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FollowedHyperlink"/>
    <w:basedOn w:val="12"/>
    <w:semiHidden/>
    <w:unhideWhenUsed/>
    <w:uiPriority w:val="99"/>
    <w:rPr>
      <w:color w:val="800080"/>
      <w:u w:val="single"/>
    </w:rPr>
  </w:style>
  <w:style w:type="character" w:styleId="15">
    <w:name w:val="Emphasis"/>
    <w:basedOn w:val="12"/>
    <w:qFormat/>
    <w:uiPriority w:val="20"/>
    <w:rPr>
      <w:i/>
      <w:iCs/>
    </w:rPr>
  </w:style>
  <w:style w:type="character" w:styleId="16">
    <w:name w:val="Hyperlink"/>
    <w:basedOn w:val="12"/>
    <w:semiHidden/>
    <w:unhideWhenUsed/>
    <w:qFormat/>
    <w:uiPriority w:val="99"/>
    <w:rPr>
      <w:color w:val="0000FF"/>
      <w:u w:val="single"/>
    </w:rPr>
  </w:style>
  <w:style w:type="character" w:styleId="17">
    <w:name w:val="annotation reference"/>
    <w:basedOn w:val="12"/>
    <w:unhideWhenUsed/>
    <w:qFormat/>
    <w:uiPriority w:val="99"/>
    <w:rPr>
      <w:sz w:val="21"/>
      <w:szCs w:val="21"/>
    </w:rPr>
  </w:style>
  <w:style w:type="character" w:styleId="18">
    <w:name w:val="HTML Cite"/>
    <w:basedOn w:val="12"/>
    <w:semiHidden/>
    <w:unhideWhenUsed/>
    <w:uiPriority w:val="99"/>
    <w:rPr>
      <w:i/>
      <w:iCs/>
    </w:rPr>
  </w:style>
  <w:style w:type="character" w:customStyle="1" w:styleId="19">
    <w:name w:val="页眉 Char"/>
    <w:basedOn w:val="12"/>
    <w:link w:val="7"/>
    <w:semiHidden/>
    <w:uiPriority w:val="99"/>
    <w:rPr>
      <w:sz w:val="18"/>
      <w:szCs w:val="18"/>
    </w:rPr>
  </w:style>
  <w:style w:type="character" w:customStyle="1" w:styleId="20">
    <w:name w:val="页脚 Char"/>
    <w:basedOn w:val="12"/>
    <w:link w:val="6"/>
    <w:uiPriority w:val="99"/>
    <w:rPr>
      <w:sz w:val="18"/>
      <w:szCs w:val="18"/>
    </w:rPr>
  </w:style>
  <w:style w:type="character" w:customStyle="1" w:styleId="21">
    <w:name w:val="标题 3 Char"/>
    <w:basedOn w:val="12"/>
    <w:link w:val="2"/>
    <w:uiPriority w:val="9"/>
    <w:rPr>
      <w:rFonts w:ascii="宋体" w:hAnsi="宋体" w:eastAsia="宋体" w:cs="宋体"/>
      <w:b/>
      <w:bCs/>
      <w:kern w:val="0"/>
      <w:sz w:val="27"/>
      <w:szCs w:val="27"/>
    </w:rPr>
  </w:style>
  <w:style w:type="paragraph" w:customStyle="1" w:styleId="22">
    <w:name w:val="mloading"/>
    <w:basedOn w:val="1"/>
    <w:uiPriority w:val="0"/>
    <w:pPr>
      <w:widowControl/>
      <w:shd w:val="clear" w:color="auto" w:fill="E9E9E8"/>
      <w:spacing w:before="100" w:beforeAutospacing="1" w:after="100" w:afterAutospacing="1" w:line="330" w:lineRule="atLeast"/>
      <w:jc w:val="left"/>
    </w:pPr>
    <w:rPr>
      <w:rFonts w:ascii="微软雅黑" w:hAnsi="微软雅黑" w:eastAsia="微软雅黑" w:cs="宋体"/>
      <w:vanish/>
      <w:kern w:val="0"/>
      <w:sz w:val="18"/>
      <w:szCs w:val="18"/>
    </w:rPr>
  </w:style>
  <w:style w:type="paragraph" w:customStyle="1" w:styleId="23">
    <w:name w:val="mloading-fu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mloading-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mloading-bar"/>
    <w:basedOn w:val="1"/>
    <w:qFormat/>
    <w:uiPriority w:val="0"/>
    <w:pPr>
      <w:widowControl/>
      <w:shd w:val="clear" w:color="auto" w:fill="FFFFFF"/>
      <w:wordWrap w:val="0"/>
      <w:spacing w:after="100" w:afterAutospacing="1"/>
      <w:ind w:left="-2100"/>
      <w:jc w:val="center"/>
    </w:pPr>
    <w:rPr>
      <w:rFonts w:ascii="宋体" w:hAnsi="宋体" w:eastAsia="宋体" w:cs="宋体"/>
      <w:color w:val="999999"/>
      <w:kern w:val="0"/>
      <w:szCs w:val="21"/>
    </w:rPr>
  </w:style>
  <w:style w:type="paragraph" w:customStyle="1" w:styleId="26">
    <w:name w:val="mloading-bar-sm"/>
    <w:basedOn w:val="1"/>
    <w:qFormat/>
    <w:uiPriority w:val="0"/>
    <w:pPr>
      <w:widowControl/>
      <w:spacing w:after="100" w:afterAutospacing="1" w:line="840" w:lineRule="atLeast"/>
      <w:ind w:left="-450"/>
      <w:jc w:val="left"/>
    </w:pPr>
    <w:rPr>
      <w:rFonts w:ascii="宋体" w:hAnsi="宋体" w:eastAsia="宋体" w:cs="宋体"/>
      <w:kern w:val="0"/>
      <w:sz w:val="24"/>
      <w:szCs w:val="24"/>
    </w:rPr>
  </w:style>
  <w:style w:type="paragraph" w:customStyle="1" w:styleId="27">
    <w:name w:val="mloading-icon"/>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8">
    <w:name w:val="mloading-text"/>
    <w:basedOn w:val="1"/>
    <w:qFormat/>
    <w:uiPriority w:val="0"/>
    <w:pPr>
      <w:widowControl/>
      <w:spacing w:before="100" w:beforeAutospacing="1" w:after="100" w:afterAutospacing="1"/>
      <w:ind w:left="150"/>
      <w:jc w:val="left"/>
    </w:pPr>
    <w:rPr>
      <w:rFonts w:ascii="宋体" w:hAnsi="宋体" w:eastAsia="宋体" w:cs="宋体"/>
      <w:kern w:val="0"/>
      <w:sz w:val="24"/>
      <w:szCs w:val="24"/>
    </w:rPr>
  </w:style>
  <w:style w:type="paragraph" w:customStyle="1" w:styleId="29">
    <w:name w:val="layui-layer-imgbar"/>
    <w:basedOn w:val="1"/>
    <w:uiPriority w:val="0"/>
    <w:pPr>
      <w:widowControl/>
      <w:spacing w:before="100" w:beforeAutospacing="1" w:after="100" w:afterAutospacing="1" w:line="480" w:lineRule="atLeast"/>
      <w:jc w:val="left"/>
    </w:pPr>
    <w:rPr>
      <w:rFonts w:ascii="宋体" w:hAnsi="宋体" w:eastAsia="宋体" w:cs="宋体"/>
      <w:vanish/>
      <w:color w:val="FFFFFF"/>
      <w:kern w:val="0"/>
      <w:sz w:val="2"/>
      <w:szCs w:val="2"/>
    </w:rPr>
  </w:style>
  <w:style w:type="paragraph" w:customStyle="1" w:styleId="30">
    <w:name w:val="layui-layer-title"/>
    <w:basedOn w:val="1"/>
    <w:uiPriority w:val="0"/>
    <w:pPr>
      <w:widowControl/>
      <w:pBdr>
        <w:bottom w:val="single" w:color="EEEEEE" w:sz="6" w:space="0"/>
      </w:pBdr>
      <w:shd w:val="clear" w:color="auto" w:fill="F8F8F8"/>
      <w:spacing w:before="100" w:beforeAutospacing="1" w:after="100" w:afterAutospacing="1" w:line="630" w:lineRule="atLeast"/>
      <w:jc w:val="left"/>
    </w:pPr>
    <w:rPr>
      <w:rFonts w:ascii="宋体" w:hAnsi="宋体" w:eastAsia="宋体" w:cs="宋体"/>
      <w:color w:val="333333"/>
      <w:kern w:val="0"/>
      <w:szCs w:val="21"/>
    </w:rPr>
  </w:style>
  <w:style w:type="paragraph" w:customStyle="1" w:styleId="31">
    <w:name w:val="layui-layer-shad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layui-layer"/>
    <w:basedOn w:val="1"/>
    <w:uiPriority w:val="0"/>
    <w:pPr>
      <w:widowControl/>
      <w:shd w:val="clear" w:color="auto" w:fill="FFFFFF"/>
      <w:jc w:val="left"/>
    </w:pPr>
    <w:rPr>
      <w:rFonts w:ascii="宋体" w:hAnsi="宋体" w:eastAsia="宋体" w:cs="宋体"/>
      <w:kern w:val="0"/>
      <w:sz w:val="24"/>
      <w:szCs w:val="24"/>
    </w:rPr>
  </w:style>
  <w:style w:type="paragraph" w:customStyle="1" w:styleId="33">
    <w:name w:val="layui-layer-border"/>
    <w:basedOn w:val="1"/>
    <w:uiPriority w:val="0"/>
    <w:pPr>
      <w:widowControl/>
      <w:pBdr>
        <w:top w:val="single" w:color="B2B2B2" w:sz="6" w:space="0"/>
        <w:left w:val="single" w:color="B2B2B2" w:sz="6" w:space="0"/>
        <w:bottom w:val="single" w:color="B2B2B2" w:sz="6" w:space="0"/>
        <w:right w:val="single" w:color="B2B2B2" w:sz="6" w:space="0"/>
      </w:pBdr>
      <w:spacing w:before="100" w:beforeAutospacing="1" w:after="100" w:afterAutospacing="1"/>
      <w:jc w:val="left"/>
    </w:pPr>
    <w:rPr>
      <w:rFonts w:ascii="宋体" w:hAnsi="宋体" w:eastAsia="宋体" w:cs="宋体"/>
      <w:kern w:val="0"/>
      <w:sz w:val="24"/>
      <w:szCs w:val="24"/>
    </w:rPr>
  </w:style>
  <w:style w:type="paragraph" w:customStyle="1" w:styleId="34">
    <w:name w:val="layui-layer-load"/>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35">
    <w:name w:val="layui-layer-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layui-layer-move"/>
    <w:basedOn w:val="1"/>
    <w:qFormat/>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7">
    <w:name w:val="layui-layer-resiz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layui-layer-setwin"/>
    <w:basedOn w:val="1"/>
    <w:qFormat/>
    <w:uiPriority w:val="0"/>
    <w:pPr>
      <w:widowControl/>
      <w:spacing w:before="100" w:beforeAutospacing="1" w:after="100" w:afterAutospacing="1"/>
      <w:jc w:val="left"/>
    </w:pPr>
    <w:rPr>
      <w:rFonts w:ascii="宋体" w:hAnsi="宋体" w:eastAsia="宋体" w:cs="宋体"/>
      <w:kern w:val="0"/>
      <w:sz w:val="2"/>
      <w:szCs w:val="2"/>
    </w:rPr>
  </w:style>
  <w:style w:type="paragraph" w:customStyle="1" w:styleId="39">
    <w:name w:val="layui-layer-btn"/>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40">
    <w:name w:val="layui-layer-btn-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layui-layer-btn-c"/>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2">
    <w:name w:val="layui-layer-rim"/>
    <w:basedOn w:val="1"/>
    <w:qFormat/>
    <w:uiPriority w:val="0"/>
    <w:pPr>
      <w:widowControl/>
      <w:pBdr>
        <w:top w:val="single" w:color="8D8D8D" w:sz="36" w:space="0"/>
        <w:left w:val="single" w:color="8D8D8D" w:sz="36" w:space="0"/>
        <w:bottom w:val="single" w:color="8D8D8D" w:sz="36" w:space="0"/>
        <w:right w:val="single" w:color="8D8D8D" w:sz="36" w:space="0"/>
      </w:pBdr>
      <w:spacing w:before="100" w:beforeAutospacing="1" w:after="100" w:afterAutospacing="1"/>
      <w:jc w:val="left"/>
    </w:pPr>
    <w:rPr>
      <w:rFonts w:ascii="宋体" w:hAnsi="宋体" w:eastAsia="宋体" w:cs="宋体"/>
      <w:kern w:val="0"/>
      <w:sz w:val="24"/>
      <w:szCs w:val="24"/>
    </w:rPr>
  </w:style>
  <w:style w:type="paragraph" w:customStyle="1" w:styleId="43">
    <w:name w:val="layui-layer-msg"/>
    <w:basedOn w:val="1"/>
    <w:qFormat/>
    <w:uiPriority w:val="0"/>
    <w:pPr>
      <w:widowControl/>
      <w:pBdr>
        <w:top w:val="single" w:color="D3D4D3" w:sz="6" w:space="0"/>
        <w:left w:val="single" w:color="D3D4D3" w:sz="6" w:space="0"/>
        <w:bottom w:val="single" w:color="D3D4D3" w:sz="6" w:space="0"/>
        <w:right w:val="single" w:color="D3D4D3" w:sz="6" w:space="0"/>
      </w:pBdr>
      <w:spacing w:before="100" w:beforeAutospacing="1" w:after="100" w:afterAutospacing="1"/>
      <w:jc w:val="left"/>
    </w:pPr>
    <w:rPr>
      <w:rFonts w:ascii="宋体" w:hAnsi="宋体" w:eastAsia="宋体" w:cs="宋体"/>
      <w:kern w:val="0"/>
      <w:sz w:val="24"/>
      <w:szCs w:val="24"/>
    </w:rPr>
  </w:style>
  <w:style w:type="paragraph" w:customStyle="1" w:styleId="44">
    <w:name w:val="layui-layer-hui"/>
    <w:basedOn w:val="1"/>
    <w:qFormat/>
    <w:uiPriority w:val="0"/>
    <w:pPr>
      <w:widowControl/>
      <w:shd w:val="clear" w:color="auto" w:fill="000000"/>
      <w:spacing w:before="100" w:beforeAutospacing="1" w:after="100" w:afterAutospacing="1"/>
      <w:jc w:val="left"/>
    </w:pPr>
    <w:rPr>
      <w:rFonts w:ascii="宋体" w:hAnsi="宋体" w:eastAsia="宋体" w:cs="宋体"/>
      <w:color w:val="FFFFFF"/>
      <w:kern w:val="0"/>
      <w:sz w:val="24"/>
      <w:szCs w:val="24"/>
    </w:rPr>
  </w:style>
  <w:style w:type="paragraph" w:customStyle="1" w:styleId="45">
    <w:name w:val="layui-layer-loadin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layui-layer-ico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layui-layer-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layui-layer-icon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layui-layer-tabmain"/>
    <w:basedOn w:val="1"/>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50">
    <w:name w:val="layui-layer-imguid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51">
    <w:name w:val="layui-layer-imgnext"/>
    <w:basedOn w:val="1"/>
    <w:qFormat/>
    <w:uiPriority w:val="0"/>
    <w:pPr>
      <w:widowControl/>
      <w:spacing w:after="100" w:afterAutospacing="1"/>
      <w:jc w:val="left"/>
    </w:pPr>
    <w:rPr>
      <w:rFonts w:ascii="宋体" w:hAnsi="宋体" w:eastAsia="宋体" w:cs="宋体"/>
      <w:kern w:val="0"/>
      <w:sz w:val="24"/>
      <w:szCs w:val="24"/>
    </w:rPr>
  </w:style>
  <w:style w:type="paragraph" w:customStyle="1" w:styleId="52">
    <w:name w:val="layui-layer-imgprev"/>
    <w:basedOn w:val="1"/>
    <w:qFormat/>
    <w:uiPriority w:val="0"/>
    <w:pPr>
      <w:widowControl/>
      <w:spacing w:after="100" w:afterAutospacing="1"/>
      <w:jc w:val="left"/>
    </w:pPr>
    <w:rPr>
      <w:rFonts w:ascii="宋体" w:hAnsi="宋体" w:eastAsia="宋体" w:cs="宋体"/>
      <w:kern w:val="0"/>
      <w:sz w:val="24"/>
      <w:szCs w:val="24"/>
    </w:rPr>
  </w:style>
  <w:style w:type="paragraph" w:customStyle="1" w:styleId="53">
    <w:name w:val="jqstooltip"/>
    <w:basedOn w:val="1"/>
    <w:qFormat/>
    <w:uiPriority w:val="0"/>
    <w:pPr>
      <w:widowControl/>
      <w:pBdr>
        <w:top w:val="single" w:color="FFFFFF" w:sz="6" w:space="4"/>
        <w:left w:val="single" w:color="FFFFFF" w:sz="6" w:space="4"/>
        <w:bottom w:val="single" w:color="FFFFFF" w:sz="6" w:space="4"/>
        <w:right w:val="single" w:color="FFFFFF" w:sz="6" w:space="4"/>
      </w:pBdr>
      <w:spacing w:before="100" w:beforeAutospacing="1" w:after="100" w:afterAutospacing="1"/>
      <w:jc w:val="left"/>
    </w:pPr>
    <w:rPr>
      <w:rFonts w:ascii="Arial" w:hAnsi="Arial" w:eastAsia="宋体" w:cs="Arial"/>
      <w:color w:val="FFFFFF"/>
      <w:kern w:val="0"/>
      <w:sz w:val="15"/>
      <w:szCs w:val="15"/>
    </w:rPr>
  </w:style>
  <w:style w:type="paragraph" w:customStyle="1" w:styleId="54">
    <w:name w:val="jqsfield"/>
    <w:basedOn w:val="1"/>
    <w:qFormat/>
    <w:uiPriority w:val="0"/>
    <w:pPr>
      <w:widowControl/>
      <w:spacing w:before="100" w:beforeAutospacing="1" w:after="100" w:afterAutospacing="1"/>
      <w:jc w:val="left"/>
    </w:pPr>
    <w:rPr>
      <w:rFonts w:ascii="Arial" w:hAnsi="Arial" w:eastAsia="宋体" w:cs="Arial"/>
      <w:color w:val="FFFFFF"/>
      <w:kern w:val="0"/>
      <w:sz w:val="15"/>
      <w:szCs w:val="15"/>
    </w:rPr>
  </w:style>
  <w:style w:type="paragraph" w:customStyle="1" w:styleId="55">
    <w:name w:val="layui-layer-close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layui-layer-btn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layui-layer-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layui-layer-pad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layui-layer-loadin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layui-layer-loading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layui-layer-inpu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layui-layer-tabli"/>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layui-layer-btn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4">
    <w:name w:val="layui-layer-tabnow"/>
    <w:basedOn w:val="12"/>
    <w:qFormat/>
    <w:uiPriority w:val="0"/>
  </w:style>
  <w:style w:type="paragraph" w:customStyle="1" w:styleId="65">
    <w:name w:val="layui-layer-ico1"/>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66">
    <w:name w:val="layui-layer-close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layui-layer-btn01"/>
    <w:basedOn w:val="1"/>
    <w:uiPriority w:val="0"/>
    <w:pPr>
      <w:widowControl/>
      <w:shd w:val="clear" w:color="auto" w:fill="2E8DED"/>
      <w:spacing w:before="100" w:beforeAutospacing="1" w:after="100" w:afterAutospacing="1"/>
      <w:jc w:val="left"/>
    </w:pPr>
    <w:rPr>
      <w:rFonts w:ascii="宋体" w:hAnsi="宋体" w:eastAsia="宋体" w:cs="宋体"/>
      <w:color w:val="FFFFFF"/>
      <w:kern w:val="0"/>
      <w:sz w:val="24"/>
      <w:szCs w:val="24"/>
    </w:rPr>
  </w:style>
  <w:style w:type="paragraph" w:customStyle="1" w:styleId="68">
    <w:name w:val="layui-layer-content1"/>
    <w:basedOn w:val="1"/>
    <w:qFormat/>
    <w:uiPriority w:val="0"/>
    <w:pPr>
      <w:widowControl/>
      <w:wordWrap w:val="0"/>
      <w:spacing w:before="100" w:beforeAutospacing="1" w:after="100" w:afterAutospacing="1" w:line="360" w:lineRule="atLeast"/>
      <w:jc w:val="left"/>
    </w:pPr>
    <w:rPr>
      <w:rFonts w:ascii="宋体" w:hAnsi="宋体" w:eastAsia="宋体" w:cs="宋体"/>
      <w:kern w:val="0"/>
      <w:szCs w:val="21"/>
    </w:rPr>
  </w:style>
  <w:style w:type="paragraph" w:customStyle="1" w:styleId="69">
    <w:name w:val="layui-layer-ico2"/>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70">
    <w:name w:val="layui-layer-content2"/>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1">
    <w:name w:val="layui-layer-padding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layui-layer-btn2"/>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73">
    <w:name w:val="layui-layer-btn3"/>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74">
    <w:name w:val="layui-layer-content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
    <w:name w:val="layui-layer-loading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layui-layer-loading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layui-layer-content4"/>
    <w:basedOn w:val="1"/>
    <w:qFormat/>
    <w:uiPriority w:val="0"/>
    <w:pPr>
      <w:widowControl/>
      <w:shd w:val="clear" w:color="auto" w:fill="000000"/>
      <w:spacing w:before="100" w:beforeAutospacing="1" w:after="100" w:afterAutospacing="1" w:line="330" w:lineRule="atLeast"/>
      <w:jc w:val="left"/>
    </w:pPr>
    <w:rPr>
      <w:rFonts w:ascii="宋体" w:hAnsi="宋体" w:eastAsia="宋体" w:cs="宋体"/>
      <w:color w:val="FFFFFF"/>
      <w:kern w:val="0"/>
      <w:sz w:val="18"/>
      <w:szCs w:val="18"/>
    </w:rPr>
  </w:style>
  <w:style w:type="paragraph" w:customStyle="1" w:styleId="78">
    <w:name w:val="layui-layer-title1"/>
    <w:basedOn w:val="1"/>
    <w:qFormat/>
    <w:uiPriority w:val="0"/>
    <w:pPr>
      <w:widowControl/>
      <w:shd w:val="clear" w:color="auto" w:fill="4476A7"/>
      <w:spacing w:before="100" w:beforeAutospacing="1" w:after="100" w:afterAutospacing="1" w:line="630" w:lineRule="atLeast"/>
      <w:jc w:val="left"/>
    </w:pPr>
    <w:rPr>
      <w:rFonts w:ascii="宋体" w:hAnsi="宋体" w:eastAsia="宋体" w:cs="宋体"/>
      <w:color w:val="FFFFFF"/>
      <w:kern w:val="0"/>
      <w:szCs w:val="21"/>
    </w:rPr>
  </w:style>
  <w:style w:type="paragraph" w:customStyle="1" w:styleId="79">
    <w:name w:val="layui-layer-btn4"/>
    <w:basedOn w:val="1"/>
    <w:uiPriority w:val="0"/>
    <w:pPr>
      <w:widowControl/>
      <w:pBdr>
        <w:top w:val="single" w:color="E9E7E7" w:sz="6" w:space="4"/>
      </w:pBdr>
      <w:spacing w:before="100" w:beforeAutospacing="1" w:after="100" w:afterAutospacing="1"/>
      <w:jc w:val="right"/>
    </w:pPr>
    <w:rPr>
      <w:rFonts w:ascii="宋体" w:hAnsi="宋体" w:eastAsia="宋体" w:cs="宋体"/>
      <w:kern w:val="0"/>
      <w:sz w:val="24"/>
      <w:szCs w:val="24"/>
    </w:rPr>
  </w:style>
  <w:style w:type="paragraph" w:customStyle="1" w:styleId="80">
    <w:name w:val="layui-layer-btn11"/>
    <w:basedOn w:val="1"/>
    <w:qFormat/>
    <w:uiPriority w:val="0"/>
    <w:pPr>
      <w:widowControl/>
      <w:shd w:val="clear" w:color="auto" w:fill="C9C5C5"/>
      <w:spacing w:before="100" w:beforeAutospacing="1" w:after="100" w:afterAutospacing="1"/>
      <w:jc w:val="left"/>
    </w:pPr>
    <w:rPr>
      <w:rFonts w:ascii="宋体" w:hAnsi="宋体" w:eastAsia="宋体" w:cs="宋体"/>
      <w:kern w:val="0"/>
      <w:sz w:val="24"/>
      <w:szCs w:val="24"/>
    </w:rPr>
  </w:style>
  <w:style w:type="paragraph" w:customStyle="1" w:styleId="81">
    <w:name w:val="layui-layer-title2"/>
    <w:basedOn w:val="1"/>
    <w:qFormat/>
    <w:uiPriority w:val="0"/>
    <w:pPr>
      <w:widowControl/>
      <w:shd w:val="clear" w:color="auto" w:fill="009F95"/>
      <w:spacing w:before="100" w:beforeAutospacing="1" w:after="100" w:afterAutospacing="1" w:line="630" w:lineRule="atLeast"/>
      <w:jc w:val="left"/>
    </w:pPr>
    <w:rPr>
      <w:rFonts w:ascii="宋体" w:hAnsi="宋体" w:eastAsia="宋体" w:cs="宋体"/>
      <w:color w:val="FFFFFF"/>
      <w:kern w:val="0"/>
      <w:szCs w:val="21"/>
    </w:rPr>
  </w:style>
  <w:style w:type="paragraph" w:customStyle="1" w:styleId="82">
    <w:name w:val="layui-layer-btn12"/>
    <w:basedOn w:val="1"/>
    <w:qFormat/>
    <w:uiPriority w:val="0"/>
    <w:pPr>
      <w:widowControl/>
      <w:shd w:val="clear" w:color="auto" w:fill="92B8B1"/>
      <w:spacing w:before="100" w:beforeAutospacing="1" w:after="100" w:afterAutospacing="1"/>
      <w:jc w:val="left"/>
    </w:pPr>
    <w:rPr>
      <w:rFonts w:ascii="宋体" w:hAnsi="宋体" w:eastAsia="宋体" w:cs="宋体"/>
      <w:kern w:val="0"/>
      <w:sz w:val="24"/>
      <w:szCs w:val="24"/>
    </w:rPr>
  </w:style>
  <w:style w:type="paragraph" w:customStyle="1" w:styleId="83">
    <w:name w:val="layui-layer-input1"/>
    <w:basedOn w:val="1"/>
    <w:uiPriority w:val="0"/>
    <w:pPr>
      <w:widowControl/>
      <w:pBdr>
        <w:top w:val="single" w:color="CCCCCC" w:sz="6" w:space="0"/>
        <w:left w:val="single" w:color="CCCCCC" w:sz="6" w:space="4"/>
        <w:bottom w:val="single" w:color="CCCCCC" w:sz="6" w:space="0"/>
        <w:right w:val="single" w:color="CCCCCC" w:sz="6" w:space="4"/>
      </w:pBdr>
      <w:spacing w:line="450" w:lineRule="atLeast"/>
      <w:jc w:val="left"/>
    </w:pPr>
    <w:rPr>
      <w:rFonts w:ascii="宋体" w:hAnsi="宋体" w:eastAsia="宋体" w:cs="宋体"/>
      <w:color w:val="333333"/>
      <w:kern w:val="0"/>
      <w:sz w:val="24"/>
      <w:szCs w:val="24"/>
    </w:rPr>
  </w:style>
  <w:style w:type="paragraph" w:customStyle="1" w:styleId="84">
    <w:name w:val="layui-layer-content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layui-layer-btn5"/>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86">
    <w:name w:val="layui-layer-title3"/>
    <w:basedOn w:val="1"/>
    <w:qFormat/>
    <w:uiPriority w:val="0"/>
    <w:pPr>
      <w:widowControl/>
      <w:pBdr>
        <w:bottom w:val="single" w:color="CCCCCC" w:sz="6" w:space="0"/>
      </w:pBdr>
      <w:shd w:val="clear" w:color="auto" w:fill="EEEEEE"/>
      <w:spacing w:before="100" w:beforeAutospacing="1" w:after="100" w:afterAutospacing="1" w:line="630" w:lineRule="atLeast"/>
      <w:jc w:val="left"/>
    </w:pPr>
    <w:rPr>
      <w:rFonts w:ascii="宋体" w:hAnsi="宋体" w:eastAsia="宋体" w:cs="宋体"/>
      <w:color w:val="333333"/>
      <w:kern w:val="0"/>
      <w:szCs w:val="21"/>
    </w:rPr>
  </w:style>
  <w:style w:type="character" w:customStyle="1" w:styleId="87">
    <w:name w:val="layui-layer-tabnow1"/>
    <w:basedOn w:val="12"/>
    <w:qFormat/>
    <w:uiPriority w:val="0"/>
    <w:rPr>
      <w:shd w:val="clear" w:color="auto" w:fill="FFFFFF"/>
    </w:rPr>
  </w:style>
  <w:style w:type="paragraph" w:customStyle="1" w:styleId="88">
    <w:name w:val="layui-layer-tabli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9">
    <w:name w:val="layui-layer-content6"/>
    <w:basedOn w:val="1"/>
    <w:qFormat/>
    <w:uiPriority w:val="0"/>
    <w:pPr>
      <w:widowControl/>
      <w:spacing w:before="100" w:beforeAutospacing="1" w:after="100" w:afterAutospacing="1"/>
      <w:jc w:val="center"/>
    </w:pPr>
    <w:rPr>
      <w:rFonts w:ascii="宋体" w:hAnsi="宋体" w:eastAsia="宋体" w:cs="宋体"/>
      <w:kern w:val="0"/>
      <w:sz w:val="24"/>
      <w:szCs w:val="24"/>
    </w:rPr>
  </w:style>
  <w:style w:type="character" w:customStyle="1" w:styleId="90">
    <w:name w:val="editinput"/>
    <w:basedOn w:val="12"/>
    <w:qFormat/>
    <w:uiPriority w:val="0"/>
  </w:style>
  <w:style w:type="character" w:customStyle="1" w:styleId="91">
    <w:name w:val="edittexttarea"/>
    <w:basedOn w:val="12"/>
    <w:uiPriority w:val="0"/>
  </w:style>
  <w:style w:type="character" w:customStyle="1" w:styleId="92">
    <w:name w:val="文档结构图 Char"/>
    <w:basedOn w:val="12"/>
    <w:link w:val="3"/>
    <w:semiHidden/>
    <w:uiPriority w:val="99"/>
    <w:rPr>
      <w:rFonts w:ascii="宋体" w:eastAsia="宋体"/>
      <w:sz w:val="18"/>
      <w:szCs w:val="18"/>
    </w:rPr>
  </w:style>
  <w:style w:type="paragraph" w:customStyle="1" w:styleId="9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94">
    <w:name w:val="批注文字 Char"/>
    <w:basedOn w:val="12"/>
    <w:link w:val="4"/>
    <w:semiHidden/>
    <w:uiPriority w:val="99"/>
  </w:style>
  <w:style w:type="character" w:customStyle="1" w:styleId="95">
    <w:name w:val="批注主题 Char"/>
    <w:basedOn w:val="94"/>
    <w:link w:val="9"/>
    <w:semiHidden/>
    <w:qFormat/>
    <w:uiPriority w:val="99"/>
    <w:rPr>
      <w:b/>
      <w:bCs/>
    </w:rPr>
  </w:style>
  <w:style w:type="character" w:customStyle="1" w:styleId="96">
    <w:name w:val="批注框文本 Char"/>
    <w:basedOn w:val="12"/>
    <w:link w:val="5"/>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110</Pages>
  <Words>8250</Words>
  <Characters>47030</Characters>
  <Lines>391</Lines>
  <Paragraphs>110</Paragraphs>
  <TotalTime>833</TotalTime>
  <ScaleCrop>false</ScaleCrop>
  <LinksUpToDate>false</LinksUpToDate>
  <CharactersWithSpaces>55170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2019-08-12T00:43:00Z</dcterms:created>
  <dc:creator>PC</dc:creator>
  <cp:lastModifiedBy>？hzw！</cp:lastModifiedBy>
  <cp:lastPrinted>2019-08-16T00:42:00Z</cp:lastPrinted>
  <dcterms:modified xsi:type="dcterms:W3CDTF">2019-08-16T08:23:22Z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